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ACFE3" w14:textId="77777777"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14:paraId="1980B91E" w14:textId="77777777" w:rsidTr="005F7F7E">
        <w:tc>
          <w:tcPr>
            <w:tcW w:w="2438" w:type="dxa"/>
            <w:gridSpan w:val="2"/>
            <w:shd w:val="clear" w:color="auto" w:fill="auto"/>
          </w:tcPr>
          <w:p w14:paraId="6576114D"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D82AF01" w14:textId="77777777" w:rsidR="00F445B1" w:rsidRPr="00F95BC9" w:rsidRDefault="00F445B1" w:rsidP="004A6D2F">
            <w:pPr>
              <w:rPr>
                <w:rStyle w:val="Firstpagetablebold"/>
              </w:rPr>
            </w:pPr>
            <w:r w:rsidRPr="00F95BC9">
              <w:rPr>
                <w:rStyle w:val="Firstpagetablebold"/>
              </w:rPr>
              <w:t>City Executive Board</w:t>
            </w:r>
          </w:p>
        </w:tc>
      </w:tr>
      <w:tr w:rsidR="00CE544A" w:rsidRPr="00975B07" w14:paraId="7FA9AC1A" w14:textId="77777777" w:rsidTr="005F7F7E">
        <w:tc>
          <w:tcPr>
            <w:tcW w:w="2438" w:type="dxa"/>
            <w:gridSpan w:val="2"/>
            <w:shd w:val="clear" w:color="auto" w:fill="auto"/>
          </w:tcPr>
          <w:p w14:paraId="7A4A8232"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771B140" w14:textId="1039FEA7" w:rsidR="00F445B1" w:rsidRPr="001356F1" w:rsidRDefault="000E79BB" w:rsidP="00BC76D7">
            <w:pPr>
              <w:rPr>
                <w:b/>
              </w:rPr>
            </w:pPr>
            <w:r w:rsidRPr="000E79BB">
              <w:rPr>
                <w:rStyle w:val="Firstpagetablebold"/>
                <w:color w:val="auto"/>
              </w:rPr>
              <w:t>2</w:t>
            </w:r>
            <w:r w:rsidR="005D6AC6">
              <w:rPr>
                <w:rStyle w:val="Firstpagetablebold"/>
                <w:color w:val="auto"/>
              </w:rPr>
              <w:t>3</w:t>
            </w:r>
            <w:r w:rsidR="005D6AC6" w:rsidRPr="00BC76D7">
              <w:rPr>
                <w:rStyle w:val="Firstpagetablebold"/>
                <w:color w:val="auto"/>
                <w:vertAlign w:val="superscript"/>
              </w:rPr>
              <w:t>rd</w:t>
            </w:r>
            <w:r w:rsidR="005D6AC6">
              <w:rPr>
                <w:rStyle w:val="Firstpagetablebold"/>
                <w:color w:val="auto"/>
              </w:rPr>
              <w:t xml:space="preserve"> January</w:t>
            </w:r>
            <w:r>
              <w:rPr>
                <w:rStyle w:val="Firstpagetablebold"/>
                <w:color w:val="auto"/>
              </w:rPr>
              <w:t xml:space="preserve"> </w:t>
            </w:r>
            <w:r>
              <w:rPr>
                <w:rStyle w:val="Firstpagetablebold"/>
              </w:rPr>
              <w:t>2017</w:t>
            </w:r>
          </w:p>
        </w:tc>
      </w:tr>
      <w:tr w:rsidR="00CE544A" w:rsidRPr="00975B07" w14:paraId="1A6F7921" w14:textId="77777777" w:rsidTr="005F7F7E">
        <w:tc>
          <w:tcPr>
            <w:tcW w:w="2438" w:type="dxa"/>
            <w:gridSpan w:val="2"/>
            <w:shd w:val="clear" w:color="auto" w:fill="auto"/>
          </w:tcPr>
          <w:p w14:paraId="2B3C6911"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7978253" w14:textId="77777777" w:rsidR="00F445B1" w:rsidRPr="001356F1" w:rsidRDefault="000E79BB" w:rsidP="004A6D2F">
            <w:pPr>
              <w:rPr>
                <w:rStyle w:val="Firstpagetablebold"/>
              </w:rPr>
            </w:pPr>
            <w:r w:rsidRPr="000E79BB">
              <w:rPr>
                <w:rStyle w:val="Firstpagetablebold"/>
              </w:rPr>
              <w:t>Head of Planning, Sustainable Development &amp; Regulatory Services</w:t>
            </w:r>
          </w:p>
        </w:tc>
      </w:tr>
      <w:tr w:rsidR="00CE544A" w:rsidRPr="00975B07" w14:paraId="4D99D229" w14:textId="77777777" w:rsidTr="005F7F7E">
        <w:tc>
          <w:tcPr>
            <w:tcW w:w="2438" w:type="dxa"/>
            <w:gridSpan w:val="2"/>
            <w:shd w:val="clear" w:color="auto" w:fill="auto"/>
          </w:tcPr>
          <w:p w14:paraId="4186ABB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675BB28" w14:textId="77777777" w:rsidR="00F445B1" w:rsidRPr="001356F1" w:rsidRDefault="000E79BB" w:rsidP="00625BE2">
            <w:pPr>
              <w:rPr>
                <w:rStyle w:val="Firstpagetablebold"/>
              </w:rPr>
            </w:pPr>
            <w:r>
              <w:rPr>
                <w:rStyle w:val="Firstpagetablebold"/>
              </w:rPr>
              <w:t xml:space="preserve">Community Infrastructure Levy </w:t>
            </w:r>
            <w:r w:rsidR="00625BE2">
              <w:rPr>
                <w:rStyle w:val="Firstpagetablebold"/>
              </w:rPr>
              <w:t>– Preliminary Draft</w:t>
            </w:r>
            <w:r>
              <w:rPr>
                <w:rStyle w:val="Firstpagetablebold"/>
              </w:rPr>
              <w:t xml:space="preserve"> Charging Schedule </w:t>
            </w:r>
            <w:r w:rsidR="00625BE2">
              <w:rPr>
                <w:rStyle w:val="Firstpagetablebold"/>
              </w:rPr>
              <w:t>for Consultation</w:t>
            </w:r>
          </w:p>
        </w:tc>
      </w:tr>
      <w:tr w:rsidR="00D5547E" w14:paraId="202A75A8"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14:paraId="6E3FC9B7"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5DBC6C4"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14:paraId="17F07165"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E3AEE7A" w14:textId="07037403" w:rsidR="00D5547E" w:rsidRPr="001356F1" w:rsidRDefault="00693751" w:rsidP="00536E12">
            <w:r>
              <w:t xml:space="preserve">To </w:t>
            </w:r>
            <w:r w:rsidR="00625BE2">
              <w:t>s</w:t>
            </w:r>
            <w:r>
              <w:t>eek app</w:t>
            </w:r>
            <w:r w:rsidR="00625BE2">
              <w:t xml:space="preserve">roval to consult on </w:t>
            </w:r>
            <w:r w:rsidR="00536E12">
              <w:t>a new</w:t>
            </w:r>
            <w:r w:rsidR="00625BE2">
              <w:t xml:space="preserve"> </w:t>
            </w:r>
            <w:r>
              <w:t>C</w:t>
            </w:r>
            <w:r w:rsidR="00625BE2">
              <w:t>ommunity Infrastructure Levy (CIL)</w:t>
            </w:r>
            <w:r>
              <w:t xml:space="preserve"> </w:t>
            </w:r>
            <w:r w:rsidR="00625BE2">
              <w:t>Preliminary Draft Charging Schedule</w:t>
            </w:r>
          </w:p>
        </w:tc>
      </w:tr>
      <w:tr w:rsidR="00D5547E" w14:paraId="39D3846A"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4B651E33"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14471EF" w14:textId="7DE462F7" w:rsidR="00D5547E" w:rsidRPr="001356F1" w:rsidRDefault="005D6AC6" w:rsidP="00B06D2D">
            <w:r>
              <w:t>Yes</w:t>
            </w:r>
          </w:p>
        </w:tc>
      </w:tr>
      <w:tr w:rsidR="00D5547E" w14:paraId="69BC2371"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028B9EE5"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415B619A" w14:textId="77777777" w:rsidR="00D5547E" w:rsidRPr="001356F1" w:rsidRDefault="00B06D2D" w:rsidP="005F7F7E">
            <w:r w:rsidRPr="00B06D2D">
              <w:t>Councillor Alex Hollingsworth, Board Member for Planning and Regulatory Services</w:t>
            </w:r>
          </w:p>
        </w:tc>
      </w:tr>
      <w:tr w:rsidR="0080749A" w14:paraId="132C623E"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14:paraId="71A8965E"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B9D78B3" w14:textId="77777777" w:rsidR="0080749A" w:rsidRPr="001356F1" w:rsidRDefault="00B06D2D" w:rsidP="00E97F4D">
            <w:r w:rsidRPr="00B06D2D">
              <w:t>A Vibrant and Sustainable Economy; Meeting Housing Needs; Strong and Active Communities; A Clean and Green Oxford.</w:t>
            </w:r>
          </w:p>
        </w:tc>
      </w:tr>
      <w:tr w:rsidR="00D5547E" w14:paraId="71F33D4F"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28C197B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5E58A31" w14:textId="77777777" w:rsidR="00D5547E" w:rsidRPr="001356F1" w:rsidRDefault="00F66046" w:rsidP="00E97F4D">
            <w:r>
              <w:t xml:space="preserve">The </w:t>
            </w:r>
            <w:r w:rsidR="00B06D2D">
              <w:t>CIL Charging Schedule</w:t>
            </w:r>
            <w:r>
              <w:t xml:space="preserve"> sets out a tariff in the form of a standard charge on new development to help the funding of infrastructure</w:t>
            </w:r>
            <w:r w:rsidR="00625BE2">
              <w:t xml:space="preserve"> in Oxford</w:t>
            </w:r>
            <w:r>
              <w:t>. It is to supplement or top up other sources of infrastructure funding.</w:t>
            </w:r>
          </w:p>
        </w:tc>
      </w:tr>
      <w:tr w:rsidR="005F7F7E" w:rsidRPr="00975B07" w14:paraId="30060939"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14:paraId="1B83F2CB" w14:textId="77777777" w:rsidR="005F7F7E" w:rsidRPr="00975B07" w:rsidRDefault="005F7F7E" w:rsidP="004A6D2F">
            <w:r>
              <w:rPr>
                <w:rStyle w:val="Firstpagetablebold"/>
              </w:rPr>
              <w:t>Recommendation(s):That the City Executive Board resolves to:</w:t>
            </w:r>
          </w:p>
        </w:tc>
      </w:tr>
      <w:tr w:rsidR="001C2CC9" w:rsidRPr="00975B07" w14:paraId="437AF1CA"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14:paraId="729CA160" w14:textId="77777777" w:rsidR="001C2CC9" w:rsidRPr="00975B07" w:rsidRDefault="001C2CC9"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7DE7DFA0" w14:textId="32522AE4" w:rsidR="001C2CC9" w:rsidRPr="00235284" w:rsidRDefault="001C2CC9" w:rsidP="00DB2A28">
            <w:r w:rsidRPr="006177C4">
              <w:rPr>
                <w:b/>
              </w:rPr>
              <w:t>Approve</w:t>
            </w:r>
            <w:r w:rsidRPr="00235284">
              <w:t xml:space="preserve"> the </w:t>
            </w:r>
            <w:r w:rsidR="00625BE2">
              <w:t>Community Infrastructure Levy (CIL) Preliminary Draft Charging Schedule</w:t>
            </w:r>
            <w:r w:rsidR="00625BE2" w:rsidRPr="00235284">
              <w:t xml:space="preserve"> </w:t>
            </w:r>
            <w:r w:rsidR="00DB2A28">
              <w:t xml:space="preserve">(PDCS) </w:t>
            </w:r>
            <w:r w:rsidRPr="00235284">
              <w:t xml:space="preserve">for consultation; </w:t>
            </w:r>
            <w:r w:rsidR="006177C4">
              <w:t>and</w:t>
            </w:r>
          </w:p>
        </w:tc>
      </w:tr>
      <w:tr w:rsidR="001C2CC9" w:rsidRPr="00975B07" w14:paraId="6C17F8E7" w14:textId="77777777" w:rsidTr="005A539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4" w:space="0" w:color="auto"/>
              <w:right w:val="nil"/>
            </w:tcBorders>
          </w:tcPr>
          <w:p w14:paraId="15A9D5EF" w14:textId="77777777" w:rsidR="001C2CC9" w:rsidRDefault="001C2CC9" w:rsidP="004A6D2F">
            <w:r w:rsidRPr="00975B07">
              <w:t>2.</w:t>
            </w:r>
          </w:p>
          <w:p w14:paraId="2F80F1D0" w14:textId="77777777" w:rsidR="00DB2A28" w:rsidRDefault="00DB2A28" w:rsidP="004A6D2F"/>
          <w:p w14:paraId="5E9AA52D" w14:textId="50C600C9" w:rsidR="00DB2A28" w:rsidRPr="00975B07" w:rsidRDefault="00DB2A28" w:rsidP="004A6D2F"/>
        </w:tc>
        <w:tc>
          <w:tcPr>
            <w:tcW w:w="8419" w:type="dxa"/>
            <w:gridSpan w:val="2"/>
            <w:tcBorders>
              <w:top w:val="nil"/>
              <w:left w:val="nil"/>
              <w:bottom w:val="single" w:sz="4" w:space="0" w:color="auto"/>
              <w:right w:val="single" w:sz="8" w:space="0" w:color="000000"/>
            </w:tcBorders>
            <w:shd w:val="clear" w:color="auto" w:fill="auto"/>
          </w:tcPr>
          <w:p w14:paraId="6DBFA488" w14:textId="57190166" w:rsidR="00DB2A28" w:rsidRDefault="001C2CC9">
            <w:r w:rsidRPr="006177C4">
              <w:rPr>
                <w:b/>
              </w:rPr>
              <w:t>Authorise</w:t>
            </w:r>
            <w:r w:rsidRPr="00235284">
              <w:t xml:space="preserve"> the Head of Planning, Sustainable Development and Regulatory Services, in consultation with the Executive Board Member, to make any necessary editorial corrections </w:t>
            </w:r>
            <w:r w:rsidR="00F66046" w:rsidRPr="00625BE2">
              <w:rPr>
                <w:rStyle w:val="Firstpagetablebold"/>
                <w:b w:val="0"/>
              </w:rPr>
              <w:t>not materially affecting the document prior to publication</w:t>
            </w:r>
            <w:r w:rsidR="00DE6160">
              <w:rPr>
                <w:rStyle w:val="Firstpagetablebold"/>
                <w:b w:val="0"/>
              </w:rPr>
              <w:t>.</w:t>
            </w:r>
            <w:bookmarkStart w:id="0" w:name="_GoBack"/>
            <w:bookmarkEnd w:id="0"/>
          </w:p>
        </w:tc>
      </w:tr>
    </w:tbl>
    <w:p w14:paraId="3A703542"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5A935C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DB7F7C5" w14:textId="77777777" w:rsidR="00966D42" w:rsidRPr="00975B07" w:rsidRDefault="00966D42" w:rsidP="00263EA3">
            <w:pPr>
              <w:jc w:val="center"/>
            </w:pPr>
            <w:r w:rsidRPr="00745BF0">
              <w:rPr>
                <w:rStyle w:val="Firstpagetablebold"/>
              </w:rPr>
              <w:t>Appendices</w:t>
            </w:r>
          </w:p>
        </w:tc>
      </w:tr>
      <w:tr w:rsidR="00ED5860" w:rsidRPr="00975B07" w14:paraId="36A259A4" w14:textId="77777777" w:rsidTr="00A46E98">
        <w:tc>
          <w:tcPr>
            <w:tcW w:w="2438" w:type="dxa"/>
            <w:tcBorders>
              <w:top w:val="single" w:sz="8" w:space="0" w:color="000000"/>
              <w:left w:val="single" w:sz="8" w:space="0" w:color="000000"/>
              <w:bottom w:val="nil"/>
              <w:right w:val="nil"/>
            </w:tcBorders>
            <w:shd w:val="clear" w:color="auto" w:fill="auto"/>
          </w:tcPr>
          <w:p w14:paraId="17800A40"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26160AA0" w14:textId="77777777" w:rsidR="00ED5860" w:rsidRPr="001356F1" w:rsidRDefault="00625BE2" w:rsidP="00E97F4D">
            <w:r>
              <w:t>Community Infrastructure Levy (CIL) Preliminary Draft Charging Schedule</w:t>
            </w:r>
          </w:p>
        </w:tc>
      </w:tr>
      <w:tr w:rsidR="0030208D" w:rsidRPr="00975B07" w14:paraId="623882FB" w14:textId="77777777" w:rsidTr="00A46E98">
        <w:tc>
          <w:tcPr>
            <w:tcW w:w="2438" w:type="dxa"/>
            <w:tcBorders>
              <w:top w:val="nil"/>
              <w:left w:val="single" w:sz="8" w:space="0" w:color="000000"/>
              <w:bottom w:val="nil"/>
              <w:right w:val="nil"/>
            </w:tcBorders>
            <w:shd w:val="clear" w:color="auto" w:fill="auto"/>
          </w:tcPr>
          <w:p w14:paraId="314EFCDF" w14:textId="2B6CE2E7" w:rsidR="0030208D" w:rsidRPr="00975B07" w:rsidRDefault="00F77245" w:rsidP="004A6D2F">
            <w:r>
              <w:t xml:space="preserve">Appendix </w:t>
            </w:r>
            <w:r w:rsidR="008C06EC">
              <w:t>2</w:t>
            </w:r>
          </w:p>
        </w:tc>
        <w:tc>
          <w:tcPr>
            <w:tcW w:w="6406" w:type="dxa"/>
            <w:tcBorders>
              <w:top w:val="nil"/>
              <w:left w:val="nil"/>
              <w:bottom w:val="nil"/>
              <w:right w:val="single" w:sz="8" w:space="0" w:color="000000"/>
            </w:tcBorders>
          </w:tcPr>
          <w:p w14:paraId="3E47C40A" w14:textId="2451BE83" w:rsidR="00E9673F" w:rsidRPr="001356F1" w:rsidRDefault="005D6AC6" w:rsidP="004A6D2F">
            <w:r>
              <w:t xml:space="preserve">Draft </w:t>
            </w:r>
            <w:r w:rsidR="00F77245">
              <w:t>Infrastructure Funding Gap document</w:t>
            </w:r>
          </w:p>
        </w:tc>
      </w:tr>
      <w:tr w:rsidR="0030208D" w:rsidRPr="00975B07" w14:paraId="68CDAA93" w14:textId="77777777" w:rsidTr="00A46E98">
        <w:tc>
          <w:tcPr>
            <w:tcW w:w="2438" w:type="dxa"/>
            <w:tcBorders>
              <w:top w:val="nil"/>
              <w:left w:val="single" w:sz="8" w:space="0" w:color="000000"/>
              <w:bottom w:val="single" w:sz="8" w:space="0" w:color="000000"/>
              <w:right w:val="nil"/>
            </w:tcBorders>
            <w:shd w:val="clear" w:color="auto" w:fill="auto"/>
          </w:tcPr>
          <w:p w14:paraId="2D05BEBC" w14:textId="0B497E34" w:rsidR="0030208D" w:rsidRPr="00975B07" w:rsidRDefault="0011164C" w:rsidP="004A6D2F">
            <w:r>
              <w:t xml:space="preserve">Appendix </w:t>
            </w:r>
            <w:r w:rsidR="008C06EC">
              <w:t>3</w:t>
            </w:r>
          </w:p>
        </w:tc>
        <w:tc>
          <w:tcPr>
            <w:tcW w:w="6406" w:type="dxa"/>
            <w:tcBorders>
              <w:top w:val="nil"/>
              <w:left w:val="nil"/>
              <w:bottom w:val="single" w:sz="8" w:space="0" w:color="000000"/>
              <w:right w:val="single" w:sz="8" w:space="0" w:color="000000"/>
            </w:tcBorders>
          </w:tcPr>
          <w:p w14:paraId="50730D2F" w14:textId="77777777" w:rsidR="0030208D" w:rsidRPr="001356F1" w:rsidRDefault="0011164C" w:rsidP="004A6D2F">
            <w:r>
              <w:t>Risk Assessment</w:t>
            </w:r>
          </w:p>
        </w:tc>
      </w:tr>
    </w:tbl>
    <w:p w14:paraId="3CDFD0FC" w14:textId="77777777" w:rsidR="00A04744" w:rsidRDefault="00A04744" w:rsidP="004A6D2F">
      <w:pPr>
        <w:pStyle w:val="Heading1"/>
      </w:pPr>
    </w:p>
    <w:p w14:paraId="3515B5D3" w14:textId="77777777" w:rsidR="0040736F" w:rsidRPr="001356F1" w:rsidRDefault="00F66DCA" w:rsidP="004A6D2F">
      <w:pPr>
        <w:pStyle w:val="Heading1"/>
      </w:pPr>
      <w:r w:rsidRPr="001356F1">
        <w:lastRenderedPageBreak/>
        <w:t xml:space="preserve">Introduction </w:t>
      </w:r>
      <w:r w:rsidR="00404032" w:rsidRPr="001356F1">
        <w:t xml:space="preserve"> </w:t>
      </w:r>
    </w:p>
    <w:p w14:paraId="5BEDE68C" w14:textId="41B3E117" w:rsidR="00451B02" w:rsidRDefault="00F66046" w:rsidP="00E87F7A">
      <w:pPr>
        <w:pStyle w:val="ListParagraph"/>
      </w:pPr>
      <w:r>
        <w:t xml:space="preserve">The Community Infrastructure </w:t>
      </w:r>
      <w:r w:rsidRPr="00E97F4D">
        <w:t xml:space="preserve">Levy (CIL) </w:t>
      </w:r>
      <w:r w:rsidRPr="00E97F4D">
        <w:rPr>
          <w:rFonts w:cs="Arial"/>
          <w:color w:val="0B0C0C"/>
          <w:shd w:val="clear" w:color="auto" w:fill="FFFFFF"/>
        </w:rPr>
        <w:t>is a tool for local a</w:t>
      </w:r>
      <w:r w:rsidR="00451B02">
        <w:rPr>
          <w:rFonts w:cs="Arial"/>
          <w:color w:val="0B0C0C"/>
          <w:shd w:val="clear" w:color="auto" w:fill="FFFFFF"/>
        </w:rPr>
        <w:t xml:space="preserve">uthorities </w:t>
      </w:r>
      <w:r w:rsidRPr="00E97F4D">
        <w:rPr>
          <w:rFonts w:cs="Arial"/>
          <w:color w:val="0B0C0C"/>
          <w:shd w:val="clear" w:color="auto" w:fill="FFFFFF"/>
        </w:rPr>
        <w:t xml:space="preserve">to help deliver infrastructure to support </w:t>
      </w:r>
      <w:r w:rsidR="00451B02">
        <w:rPr>
          <w:rFonts w:cs="Arial"/>
          <w:color w:val="0B0C0C"/>
          <w:shd w:val="clear" w:color="auto" w:fill="FFFFFF"/>
        </w:rPr>
        <w:t>new d</w:t>
      </w:r>
      <w:r w:rsidRPr="00E97F4D">
        <w:rPr>
          <w:rFonts w:cs="Arial"/>
          <w:color w:val="0B0C0C"/>
          <w:shd w:val="clear" w:color="auto" w:fill="FFFFFF"/>
        </w:rPr>
        <w:t>evelopment.</w:t>
      </w:r>
      <w:r w:rsidR="00625BE2">
        <w:rPr>
          <w:rFonts w:cs="Arial"/>
          <w:color w:val="0B0C0C"/>
          <w:shd w:val="clear" w:color="auto" w:fill="FFFFFF"/>
        </w:rPr>
        <w:t xml:space="preserve"> </w:t>
      </w:r>
      <w:r w:rsidR="00451B02">
        <w:t>CIL is a mandatory charge levied on new developments that involve an increase of 100</w:t>
      </w:r>
      <w:r w:rsidR="00A1140E">
        <w:t>m</w:t>
      </w:r>
      <w:r w:rsidR="00A1140E" w:rsidRPr="00A1140E">
        <w:rPr>
          <w:vertAlign w:val="superscript"/>
        </w:rPr>
        <w:t>2</w:t>
      </w:r>
      <w:r w:rsidR="00451B02">
        <w:t xml:space="preserve"> or more of additional </w:t>
      </w:r>
      <w:proofErr w:type="spellStart"/>
      <w:r w:rsidR="00451B02">
        <w:t>floorspace</w:t>
      </w:r>
      <w:proofErr w:type="spellEnd"/>
      <w:r w:rsidR="00451B02">
        <w:t>, or that involves the creation of a new residential unit.</w:t>
      </w:r>
    </w:p>
    <w:p w14:paraId="6D298E18" w14:textId="4B3EC655" w:rsidR="00635264" w:rsidRDefault="00A76DB1" w:rsidP="00451B02">
      <w:pPr>
        <w:pStyle w:val="ListParagraph"/>
      </w:pPr>
      <w:r>
        <w:t xml:space="preserve">The City Council adopted its Charging Schedule in October 2013. </w:t>
      </w:r>
      <w:r w:rsidR="00625BE2">
        <w:t>The</w:t>
      </w:r>
      <w:r w:rsidR="00635264">
        <w:t xml:space="preserve"> charg</w:t>
      </w:r>
      <w:r w:rsidR="00560EF3">
        <w:t>e</w:t>
      </w:r>
      <w:r w:rsidR="00635264">
        <w:t xml:space="preserve"> </w:t>
      </w:r>
      <w:r w:rsidR="00451B02">
        <w:t>wa</w:t>
      </w:r>
      <w:r w:rsidR="00EE384E">
        <w:t>s £100</w:t>
      </w:r>
      <w:r>
        <w:t>/m</w:t>
      </w:r>
      <w:r w:rsidRPr="00451B02">
        <w:rPr>
          <w:vertAlign w:val="superscript"/>
        </w:rPr>
        <w:t>2</w:t>
      </w:r>
      <w:r>
        <w:t xml:space="preserve"> </w:t>
      </w:r>
      <w:r w:rsidR="00EE384E">
        <w:t>(</w:t>
      </w:r>
      <w:r w:rsidR="00A1140E">
        <w:t>retail uses, housing, Houses in Multiple Occupation and student accommodation)</w:t>
      </w:r>
      <w:r w:rsidR="00EE384E">
        <w:t xml:space="preserve"> </w:t>
      </w:r>
      <w:r>
        <w:t>and £20/m</w:t>
      </w:r>
      <w:r w:rsidRPr="00451B02">
        <w:rPr>
          <w:vertAlign w:val="superscript"/>
        </w:rPr>
        <w:t>2</w:t>
      </w:r>
      <w:r w:rsidR="00EE384E" w:rsidRPr="00451B02">
        <w:rPr>
          <w:vertAlign w:val="superscript"/>
        </w:rPr>
        <w:t xml:space="preserve"> </w:t>
      </w:r>
      <w:r w:rsidR="00EE384E">
        <w:t>(</w:t>
      </w:r>
      <w:r w:rsidR="00A1140E">
        <w:t xml:space="preserve">employment, hotels, institutions, assembly and leisure and </w:t>
      </w:r>
      <w:r w:rsidR="00A1140E" w:rsidRPr="00A1140E">
        <w:t>other u</w:t>
      </w:r>
      <w:r w:rsidR="00EE384E" w:rsidRPr="00A1140E">
        <w:t>ses).</w:t>
      </w:r>
      <w:r w:rsidRPr="00A1140E">
        <w:t xml:space="preserve"> These</w:t>
      </w:r>
      <w:r>
        <w:t xml:space="preserve"> have been</w:t>
      </w:r>
      <w:r w:rsidR="00B62BB2">
        <w:t xml:space="preserve"> updated annually in line with the BCIS indexation</w:t>
      </w:r>
      <w:r>
        <w:t xml:space="preserve"> and currently stand at £120.97 and £24.19 </w:t>
      </w:r>
      <w:r w:rsidR="00A1140E">
        <w:t>respectively</w:t>
      </w:r>
      <w:r>
        <w:t>.</w:t>
      </w:r>
    </w:p>
    <w:p w14:paraId="771918B4" w14:textId="3FBB2AD0" w:rsidR="00E9673F" w:rsidRDefault="00E9673F" w:rsidP="00E9673F">
      <w:pPr>
        <w:pStyle w:val="bParagraphtext"/>
      </w:pPr>
      <w:r w:rsidRPr="001356F1">
        <w:t>T</w:t>
      </w:r>
      <w:r>
        <w:t xml:space="preserve">he purpose of this report is to seek approval </w:t>
      </w:r>
      <w:r w:rsidR="00846F8E">
        <w:t xml:space="preserve">to consult on </w:t>
      </w:r>
      <w:r>
        <w:t>the Preliminary Draft Ch</w:t>
      </w:r>
      <w:r w:rsidR="00846F8E">
        <w:t>arging Schedule</w:t>
      </w:r>
      <w:r>
        <w:t xml:space="preserve">. The final version will ultimately replace the 2013 Charging Schedule. </w:t>
      </w:r>
    </w:p>
    <w:p w14:paraId="0267E475" w14:textId="52BE1A0D" w:rsidR="005D6AC6" w:rsidRPr="00BC76D7" w:rsidRDefault="005D6AC6" w:rsidP="00BC76D7">
      <w:pPr>
        <w:rPr>
          <w:b/>
        </w:rPr>
      </w:pPr>
      <w:r w:rsidRPr="00BC76D7">
        <w:rPr>
          <w:b/>
        </w:rPr>
        <w:t>Why review the Charging Schedule?</w:t>
      </w:r>
    </w:p>
    <w:p w14:paraId="3090360E" w14:textId="47A65B33" w:rsidR="005D6AC6" w:rsidRDefault="00C36066" w:rsidP="005570B5">
      <w:pPr>
        <w:pStyle w:val="bParagraphtext"/>
      </w:pPr>
      <w:r>
        <w:t xml:space="preserve">The City Council was a front runner in adopting </w:t>
      </w:r>
      <w:r w:rsidR="005D6AC6">
        <w:t xml:space="preserve">a </w:t>
      </w:r>
      <w:r>
        <w:t xml:space="preserve">CIL Charging Schedule in 2013 but more recent Charging Schedules of other Local Authorities are charging </w:t>
      </w:r>
      <w:r w:rsidR="005D6AC6">
        <w:t>a variety of different</w:t>
      </w:r>
      <w:r>
        <w:t xml:space="preserve"> rates. </w:t>
      </w:r>
      <w:r w:rsidR="00A94AF9">
        <w:t xml:space="preserve">In addition, under the legislation, the City Council </w:t>
      </w:r>
      <w:r w:rsidR="00846F8E">
        <w:t>has</w:t>
      </w:r>
      <w:r w:rsidR="00A94AF9">
        <w:t xml:space="preserve"> to grant charity relief exemption for certain </w:t>
      </w:r>
      <w:proofErr w:type="gramStart"/>
      <w:r w:rsidR="00A94AF9">
        <w:t xml:space="preserve">developments which </w:t>
      </w:r>
      <w:r w:rsidR="00846F8E">
        <w:t>has</w:t>
      </w:r>
      <w:proofErr w:type="gramEnd"/>
      <w:r w:rsidR="00846F8E">
        <w:t xml:space="preserve"> been reducing potential</w:t>
      </w:r>
      <w:r w:rsidR="00A94AF9">
        <w:t xml:space="preserve"> CIL income. </w:t>
      </w:r>
      <w:r w:rsidR="005D6AC6">
        <w:t>It is therefore prudent to review our charges to determine whether the Council is maxim</w:t>
      </w:r>
      <w:r w:rsidR="005147D0">
        <w:t>i</w:t>
      </w:r>
      <w:r w:rsidR="005D6AC6">
        <w:t>sing funding towards infrastructure through CIL.</w:t>
      </w:r>
    </w:p>
    <w:p w14:paraId="6E3D29D3" w14:textId="42984B4C" w:rsidR="00C36066" w:rsidRDefault="005D6AC6" w:rsidP="005570B5">
      <w:pPr>
        <w:pStyle w:val="bParagraphtext"/>
      </w:pPr>
      <w:r>
        <w:t>T</w:t>
      </w:r>
      <w:r w:rsidR="00C36066">
        <w:t xml:space="preserve">he City Council is </w:t>
      </w:r>
      <w:r>
        <w:t>in the process of producing the</w:t>
      </w:r>
      <w:r w:rsidR="00C36066">
        <w:t xml:space="preserve"> Local Plan</w:t>
      </w:r>
      <w:r>
        <w:t xml:space="preserve"> 2036</w:t>
      </w:r>
      <w:r w:rsidR="005147D0">
        <w:t>. The Charging Schedule and associated Regulation 123 list will demonstrate how the Local Plan can be delivered</w:t>
      </w:r>
      <w:r w:rsidR="00846F8E">
        <w:t xml:space="preserve"> and so it is helpful</w:t>
      </w:r>
      <w:r w:rsidR="005147D0">
        <w:t xml:space="preserve"> to ensure the Charging Schedule is </w:t>
      </w:r>
      <w:proofErr w:type="gramStart"/>
      <w:r w:rsidR="005147D0">
        <w:t>Examin</w:t>
      </w:r>
      <w:r w:rsidR="00846F8E">
        <w:t>ed</w:t>
      </w:r>
      <w:proofErr w:type="gramEnd"/>
      <w:r w:rsidR="005147D0">
        <w:t xml:space="preserve"> by the Planning Inspector at the same time as the Local Plan 2036.</w:t>
      </w:r>
    </w:p>
    <w:p w14:paraId="3B7A6E47" w14:textId="359B89E6" w:rsidR="00E87F7A" w:rsidRPr="001356F1" w:rsidRDefault="00396068" w:rsidP="00E87F7A">
      <w:pPr>
        <w:spacing w:before="240"/>
        <w:outlineLvl w:val="0"/>
        <w:rPr>
          <w:b/>
        </w:rPr>
      </w:pPr>
      <w:r>
        <w:rPr>
          <w:b/>
        </w:rPr>
        <w:t xml:space="preserve">Background evidence to support the </w:t>
      </w:r>
      <w:r w:rsidR="00625BE2">
        <w:rPr>
          <w:b/>
        </w:rPr>
        <w:t>Preliminary Draft</w:t>
      </w:r>
      <w:r w:rsidR="00790CC2">
        <w:rPr>
          <w:b/>
        </w:rPr>
        <w:t xml:space="preserve"> Charging Schedule</w:t>
      </w:r>
      <w:r w:rsidR="004F141F">
        <w:rPr>
          <w:b/>
        </w:rPr>
        <w:t xml:space="preserve"> (PDCS)</w:t>
      </w:r>
    </w:p>
    <w:p w14:paraId="7380BE5D" w14:textId="406CBA4C" w:rsidR="00846F8E" w:rsidRDefault="00C84CEA" w:rsidP="00846F8E">
      <w:pPr>
        <w:pStyle w:val="bParagraphtext"/>
      </w:pPr>
      <w:r>
        <w:t>T</w:t>
      </w:r>
      <w:r w:rsidR="00173EC1">
        <w:t xml:space="preserve">he following documents </w:t>
      </w:r>
      <w:r w:rsidR="00AA2D9E">
        <w:t>are being</w:t>
      </w:r>
      <w:r w:rsidR="00173EC1">
        <w:t xml:space="preserve"> produced </w:t>
      </w:r>
      <w:r w:rsidR="00AA2D9E">
        <w:t xml:space="preserve">and will be available for </w:t>
      </w:r>
      <w:r w:rsidR="00173EC1">
        <w:t>th</w:t>
      </w:r>
      <w:r w:rsidR="00AA2D9E">
        <w:t>e</w:t>
      </w:r>
      <w:r w:rsidR="00173EC1">
        <w:t xml:space="preserve"> consultation stage of </w:t>
      </w:r>
      <w:r w:rsidR="00625BE2">
        <w:t xml:space="preserve">the </w:t>
      </w:r>
      <w:r w:rsidR="004F141F">
        <w:t>PDCS</w:t>
      </w:r>
      <w:r w:rsidR="004D0B34">
        <w:t>:</w:t>
      </w:r>
    </w:p>
    <w:p w14:paraId="3070EE06" w14:textId="2633D4FF" w:rsidR="00846F8E" w:rsidRDefault="00846F8E" w:rsidP="00846F8E">
      <w:pPr>
        <w:pStyle w:val="ListParagraph"/>
        <w:numPr>
          <w:ilvl w:val="0"/>
          <w:numId w:val="45"/>
        </w:numPr>
      </w:pPr>
      <w:r>
        <w:t xml:space="preserve">A </w:t>
      </w:r>
      <w:r w:rsidRPr="004F141F">
        <w:rPr>
          <w:i/>
        </w:rPr>
        <w:t>draft Infrastructure Delivery Plan</w:t>
      </w:r>
      <w:r>
        <w:t xml:space="preserve"> which sets out infrastructure requirements to support the delivery of the Local Plan 2036. </w:t>
      </w:r>
      <w:r w:rsidR="00AA2D9E">
        <w:t>The draft will be</w:t>
      </w:r>
      <w:r>
        <w:t xml:space="preserve"> informed by the Oxfordshire Infrastructure Strategy (</w:t>
      </w:r>
      <w:proofErr w:type="spellStart"/>
      <w:r>
        <w:t>OxIS</w:t>
      </w:r>
      <w:proofErr w:type="spellEnd"/>
      <w:r>
        <w:t>).</w:t>
      </w:r>
    </w:p>
    <w:p w14:paraId="77683BDC" w14:textId="647BC6A6" w:rsidR="00846F8E" w:rsidRDefault="00846F8E" w:rsidP="00846F8E">
      <w:pPr>
        <w:pStyle w:val="ListParagraph"/>
        <w:numPr>
          <w:ilvl w:val="0"/>
          <w:numId w:val="45"/>
        </w:numPr>
      </w:pPr>
      <w:r>
        <w:t xml:space="preserve">An </w:t>
      </w:r>
      <w:r w:rsidRPr="00846F8E">
        <w:rPr>
          <w:i/>
        </w:rPr>
        <w:t>Economic Viability Study</w:t>
      </w:r>
      <w:r>
        <w:t xml:space="preserve"> </w:t>
      </w:r>
      <w:r w:rsidR="00AA2D9E">
        <w:t>is being</w:t>
      </w:r>
      <w:r>
        <w:t xml:space="preserve"> undertaken by consultants and is </w:t>
      </w:r>
      <w:r w:rsidR="00AA2D9E">
        <w:t xml:space="preserve">an important </w:t>
      </w:r>
      <w:r>
        <w:t>piece of evidence to assist in determining the most appropriate level for the CIL tariff. It considers burdens placed upon new development through the Local Plan 2036, such as affordable housing requirements and renewable energy.</w:t>
      </w:r>
    </w:p>
    <w:p w14:paraId="65DA7627" w14:textId="2D80BF49" w:rsidR="00846F8E" w:rsidRDefault="00846F8E" w:rsidP="00846F8E">
      <w:pPr>
        <w:pStyle w:val="bParagraphtext"/>
      </w:pPr>
      <w:r>
        <w:t>An</w:t>
      </w:r>
      <w:r w:rsidR="004F141F">
        <w:t xml:space="preserve"> </w:t>
      </w:r>
      <w:r w:rsidR="004F141F" w:rsidRPr="00846F8E">
        <w:rPr>
          <w:i/>
        </w:rPr>
        <w:t>Infrastructure Funding Gap</w:t>
      </w:r>
      <w:r w:rsidR="004F141F">
        <w:t xml:space="preserve"> </w:t>
      </w:r>
      <w:r>
        <w:t xml:space="preserve">(Appendix 2) compares the likely CIL income from anticipated new developments with the cost of infrastructure </w:t>
      </w:r>
      <w:r w:rsidR="00AA2D9E">
        <w:t xml:space="preserve">that has been initially </w:t>
      </w:r>
      <w:r>
        <w:t>identified in the draft Infrastructure Delivery Plan. It</w:t>
      </w:r>
      <w:r w:rsidR="004F141F">
        <w:t xml:space="preserve"> confirms that </w:t>
      </w:r>
      <w:r w:rsidR="00704CEF">
        <w:t>CIL will not generate sufficient fund</w:t>
      </w:r>
      <w:r w:rsidR="004F141F">
        <w:t>s</w:t>
      </w:r>
      <w:r w:rsidR="00704CEF">
        <w:t xml:space="preserve"> to pay for </w:t>
      </w:r>
      <w:proofErr w:type="gramStart"/>
      <w:r w:rsidR="00704CEF">
        <w:t>all the</w:t>
      </w:r>
      <w:proofErr w:type="gramEnd"/>
      <w:r w:rsidR="00704CEF">
        <w:t xml:space="preserve"> infrastructure identified.  </w:t>
      </w:r>
      <w:r w:rsidR="004F141F">
        <w:t xml:space="preserve">The City Council’s </w:t>
      </w:r>
      <w:r w:rsidR="00704CEF">
        <w:t>intention is</w:t>
      </w:r>
      <w:r w:rsidR="004F141F">
        <w:t xml:space="preserve"> therefore</w:t>
      </w:r>
      <w:r w:rsidR="00704CEF">
        <w:t xml:space="preserve"> to </w:t>
      </w:r>
      <w:r w:rsidR="004F141F">
        <w:t>consider increasing</w:t>
      </w:r>
      <w:r w:rsidR="00704CEF">
        <w:t xml:space="preserve"> the CIL rates to ensure that CIL can make a meaningful and needed contribution to the infrastructure needs of Ox</w:t>
      </w:r>
      <w:r w:rsidR="00C84CEA">
        <w:t xml:space="preserve">ford. </w:t>
      </w:r>
    </w:p>
    <w:p w14:paraId="56534FA8" w14:textId="33BF4F45" w:rsidR="00846F8E" w:rsidRPr="000F02B8" w:rsidRDefault="000F02B8" w:rsidP="00846F8E">
      <w:pPr>
        <w:pStyle w:val="bParagraphtext"/>
      </w:pPr>
      <w:r w:rsidRPr="000F02B8">
        <w:t>Initial indication</w:t>
      </w:r>
      <w:r>
        <w:t>s</w:t>
      </w:r>
      <w:r w:rsidRPr="000F02B8">
        <w:t xml:space="preserve"> from the</w:t>
      </w:r>
      <w:r w:rsidR="00A929EF" w:rsidRPr="000F02B8">
        <w:t xml:space="preserve"> </w:t>
      </w:r>
      <w:r w:rsidR="00A929EF" w:rsidRPr="000F02B8">
        <w:rPr>
          <w:i/>
        </w:rPr>
        <w:t>Economic Viability Study</w:t>
      </w:r>
      <w:r w:rsidRPr="000F02B8">
        <w:rPr>
          <w:i/>
        </w:rPr>
        <w:t xml:space="preserve"> </w:t>
      </w:r>
      <w:r w:rsidRPr="000F02B8">
        <w:t>show that</w:t>
      </w:r>
      <w:r w:rsidR="00A929EF" w:rsidRPr="000F02B8">
        <w:t xml:space="preserve"> </w:t>
      </w:r>
      <w:r w:rsidR="00E86961" w:rsidRPr="000F02B8">
        <w:t>a charge of £200/m</w:t>
      </w:r>
      <w:r w:rsidR="00E86961" w:rsidRPr="000F02B8">
        <w:rPr>
          <w:vertAlign w:val="superscript"/>
        </w:rPr>
        <w:t>2</w:t>
      </w:r>
      <w:r w:rsidR="00E86961" w:rsidRPr="000F02B8">
        <w:t xml:space="preserve"> (retail uses, housing, Houses in Multiple Occupation and student accommodation) </w:t>
      </w:r>
      <w:r w:rsidR="00E86961" w:rsidRPr="000F02B8">
        <w:lastRenderedPageBreak/>
        <w:t>and £50/m</w:t>
      </w:r>
      <w:r w:rsidR="00E86961" w:rsidRPr="000F02B8">
        <w:rPr>
          <w:vertAlign w:val="superscript"/>
        </w:rPr>
        <w:t xml:space="preserve">2 </w:t>
      </w:r>
      <w:r w:rsidR="00E86961" w:rsidRPr="000F02B8">
        <w:t>(employment, hotels, institutions, assembly and leisure and other uses) is, generally, viable for development.</w:t>
      </w:r>
      <w:r>
        <w:t xml:space="preserve"> This will undergo further sensitivity testing and Members will be updated verbally at CEB.</w:t>
      </w:r>
    </w:p>
    <w:p w14:paraId="6D9998E9" w14:textId="77777777" w:rsidR="00846F8E" w:rsidRPr="00846F8E" w:rsidRDefault="00846F8E" w:rsidP="00846F8E">
      <w:pPr>
        <w:rPr>
          <w:b/>
        </w:rPr>
      </w:pPr>
      <w:r w:rsidRPr="00846F8E">
        <w:rPr>
          <w:b/>
        </w:rPr>
        <w:t>The CIL rates proposed in the Preliminary Draft Charging Schedule</w:t>
      </w:r>
    </w:p>
    <w:p w14:paraId="0A53F44A" w14:textId="77777777" w:rsidR="00846F8E" w:rsidRDefault="00704CEF" w:rsidP="00846F8E">
      <w:pPr>
        <w:pStyle w:val="bParagraphtext"/>
      </w:pPr>
      <w:r>
        <w:t xml:space="preserve">The CIL regulations and the National Planning Practice Guidance (NPPG) specify that in setting their levies charging authorities should strike a balance between the need to fund infrastructure and the potential effects of the imposition of CIL on the economic viability of development across their areas.  The overarching aim of CIL is to enable the delivery of </w:t>
      </w:r>
      <w:proofErr w:type="gramStart"/>
      <w:r>
        <w:t>growth,</w:t>
      </w:r>
      <w:proofErr w:type="gramEnd"/>
      <w:r>
        <w:t xml:space="preserve"> therefore, CIL should not be set too high.</w:t>
      </w:r>
    </w:p>
    <w:p w14:paraId="08CE996C" w14:textId="77C82171" w:rsidR="00846F8E" w:rsidRDefault="00E9673F" w:rsidP="00846F8E">
      <w:pPr>
        <w:pStyle w:val="bParagraphtext"/>
      </w:pPr>
      <w:r>
        <w:t xml:space="preserve">In determining the appropriate CIL rates, consideration must be had for the </w:t>
      </w:r>
      <w:r w:rsidR="00725645">
        <w:t xml:space="preserve">financial </w:t>
      </w:r>
      <w:r>
        <w:t>burden this places on developers in combination with other requirements notably Affordable Housing provision. Affordable Housing is a key priority for the City Council and therefore</w:t>
      </w:r>
      <w:r w:rsidR="00721C3E">
        <w:t>,</w:t>
      </w:r>
      <w:r>
        <w:t xml:space="preserve"> </w:t>
      </w:r>
      <w:r w:rsidR="00721C3E">
        <w:t xml:space="preserve">through the development of Local Plan 2036 </w:t>
      </w:r>
      <w:r w:rsidR="00725645">
        <w:t xml:space="preserve">policy </w:t>
      </w:r>
      <w:r>
        <w:t>approach</w:t>
      </w:r>
      <w:r w:rsidR="00721C3E">
        <w:t>,</w:t>
      </w:r>
      <w:r>
        <w:t xml:space="preserve"> affordable housing </w:t>
      </w:r>
      <w:r w:rsidR="00721C3E">
        <w:t>will be maximised and</w:t>
      </w:r>
      <w:r w:rsidR="00725645">
        <w:t xml:space="preserve"> CIL rates </w:t>
      </w:r>
      <w:r w:rsidR="00721C3E">
        <w:t xml:space="preserve">will be set </w:t>
      </w:r>
      <w:r w:rsidR="00725645">
        <w:t>at a level that</w:t>
      </w:r>
      <w:r w:rsidR="00A94AF9">
        <w:t xml:space="preserve"> </w:t>
      </w:r>
      <w:r w:rsidR="00725645">
        <w:t>ensures the</w:t>
      </w:r>
      <w:r w:rsidR="00A94AF9">
        <w:t xml:space="preserve"> full affordable housing</w:t>
      </w:r>
      <w:r w:rsidR="00725645">
        <w:t xml:space="preserve"> requirement can generally be achieved</w:t>
      </w:r>
      <w:r w:rsidR="00A94AF9">
        <w:t>.</w:t>
      </w:r>
      <w:r>
        <w:t xml:space="preserve"> </w:t>
      </w:r>
    </w:p>
    <w:p w14:paraId="40400F7E" w14:textId="47A90656" w:rsidR="00846F8E" w:rsidRDefault="00220EA2" w:rsidP="00846F8E">
      <w:pPr>
        <w:pStyle w:val="bParagraphtext"/>
      </w:pPr>
      <w:r w:rsidRPr="004F141F">
        <w:t>T</w:t>
      </w:r>
      <w:r w:rsidR="004F141F">
        <w:t xml:space="preserve">he proposed approach, as set out in Table </w:t>
      </w:r>
      <w:r w:rsidR="00E86961">
        <w:t>1</w:t>
      </w:r>
      <w:r w:rsidR="004F141F">
        <w:t xml:space="preserve"> of the PDCS </w:t>
      </w:r>
      <w:r w:rsidR="00A1140E">
        <w:t>(</w:t>
      </w:r>
      <w:r w:rsidR="004F141F">
        <w:t>Appendix 1</w:t>
      </w:r>
      <w:r w:rsidR="00A1140E">
        <w:t>)</w:t>
      </w:r>
      <w:r w:rsidR="004F141F">
        <w:t xml:space="preserve">, </w:t>
      </w:r>
      <w:r w:rsidRPr="004F141F">
        <w:t xml:space="preserve">is </w:t>
      </w:r>
      <w:r w:rsidR="00A1140E">
        <w:t>as follows:</w:t>
      </w: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417"/>
      </w:tblGrid>
      <w:tr w:rsidR="00846F8E" w:rsidRPr="00A1140E" w14:paraId="675FDD6D" w14:textId="77777777" w:rsidTr="005B6E8B">
        <w:tc>
          <w:tcPr>
            <w:tcW w:w="7295" w:type="dxa"/>
            <w:shd w:val="clear" w:color="auto" w:fill="BFBFBF" w:themeFill="background1" w:themeFillShade="BF"/>
            <w:vAlign w:val="center"/>
          </w:tcPr>
          <w:p w14:paraId="77C20AA9" w14:textId="77777777" w:rsidR="00846F8E" w:rsidRPr="00A1140E" w:rsidRDefault="00846F8E" w:rsidP="00846F8E">
            <w:r w:rsidRPr="00A1140E">
              <w:t xml:space="preserve">Development type </w:t>
            </w:r>
          </w:p>
        </w:tc>
        <w:tc>
          <w:tcPr>
            <w:tcW w:w="1417" w:type="dxa"/>
            <w:shd w:val="clear" w:color="auto" w:fill="BFBFBF" w:themeFill="background1" w:themeFillShade="BF"/>
            <w:vAlign w:val="center"/>
          </w:tcPr>
          <w:p w14:paraId="6A1FF751" w14:textId="09348628" w:rsidR="00846F8E" w:rsidRPr="00A1140E" w:rsidRDefault="000F02B8" w:rsidP="005B6E8B">
            <w:pPr>
              <w:spacing w:before="60" w:after="60"/>
              <w:rPr>
                <w:rFonts w:cs="Arial"/>
                <w:b/>
                <w:color w:val="auto"/>
                <w:sz w:val="20"/>
                <w:szCs w:val="20"/>
              </w:rPr>
            </w:pPr>
            <w:r>
              <w:rPr>
                <w:rFonts w:cs="Arial"/>
                <w:b/>
                <w:color w:val="auto"/>
                <w:sz w:val="20"/>
                <w:szCs w:val="20"/>
              </w:rPr>
              <w:t>*</w:t>
            </w:r>
            <w:r w:rsidR="00846F8E" w:rsidRPr="00A1140E">
              <w:rPr>
                <w:rFonts w:cs="Arial"/>
                <w:b/>
                <w:color w:val="auto"/>
                <w:sz w:val="20"/>
                <w:szCs w:val="20"/>
              </w:rPr>
              <w:t>CIL Rate/m</w:t>
            </w:r>
            <w:r w:rsidR="00846F8E" w:rsidRPr="00A1140E">
              <w:rPr>
                <w:rFonts w:cs="Arial"/>
                <w:b/>
                <w:color w:val="auto"/>
                <w:sz w:val="20"/>
                <w:szCs w:val="20"/>
                <w:vertAlign w:val="superscript"/>
              </w:rPr>
              <w:t>2</w:t>
            </w:r>
          </w:p>
        </w:tc>
      </w:tr>
      <w:tr w:rsidR="00846F8E" w:rsidRPr="00A1140E" w14:paraId="16E85981" w14:textId="77777777" w:rsidTr="005B6E8B">
        <w:tc>
          <w:tcPr>
            <w:tcW w:w="7295" w:type="dxa"/>
            <w:vAlign w:val="center"/>
          </w:tcPr>
          <w:p w14:paraId="63BE9A3A" w14:textId="77777777" w:rsidR="00846F8E" w:rsidRPr="00A1140E" w:rsidRDefault="00846F8E" w:rsidP="005B6E8B">
            <w:pPr>
              <w:spacing w:before="60" w:after="60"/>
              <w:rPr>
                <w:rFonts w:cs="Arial"/>
                <w:color w:val="auto"/>
                <w:sz w:val="20"/>
                <w:szCs w:val="20"/>
              </w:rPr>
            </w:pPr>
            <w:r w:rsidRPr="00A1140E">
              <w:rPr>
                <w:rStyle w:val="Strong"/>
                <w:rFonts w:cs="Arial"/>
                <w:color w:val="auto"/>
                <w:sz w:val="20"/>
                <w:szCs w:val="20"/>
              </w:rPr>
              <w:t xml:space="preserve">Retail </w:t>
            </w:r>
            <w:r w:rsidRPr="00A1140E">
              <w:rPr>
                <w:rStyle w:val="Strong"/>
                <w:rFonts w:cs="Arial"/>
                <w:b w:val="0"/>
                <w:color w:val="auto"/>
                <w:sz w:val="20"/>
                <w:szCs w:val="20"/>
              </w:rPr>
              <w:t>(A1-A5)</w:t>
            </w:r>
          </w:p>
        </w:tc>
        <w:tc>
          <w:tcPr>
            <w:tcW w:w="1417" w:type="dxa"/>
            <w:vAlign w:val="center"/>
          </w:tcPr>
          <w:p w14:paraId="222F9809" w14:textId="60EA614F" w:rsidR="00846F8E" w:rsidRPr="000F02B8" w:rsidRDefault="00846F8E" w:rsidP="005B6E8B">
            <w:pPr>
              <w:spacing w:before="60" w:after="60"/>
              <w:jc w:val="center"/>
              <w:rPr>
                <w:rFonts w:cs="Arial"/>
                <w:color w:val="auto"/>
                <w:sz w:val="20"/>
                <w:szCs w:val="20"/>
              </w:rPr>
            </w:pPr>
            <w:r w:rsidRPr="000F02B8">
              <w:rPr>
                <w:rFonts w:cs="Arial"/>
                <w:color w:val="auto"/>
                <w:sz w:val="20"/>
                <w:szCs w:val="20"/>
              </w:rPr>
              <w:t>£</w:t>
            </w:r>
            <w:r w:rsidR="00E86961" w:rsidRPr="000F02B8">
              <w:rPr>
                <w:rFonts w:cs="Arial"/>
                <w:color w:val="auto"/>
                <w:sz w:val="20"/>
                <w:szCs w:val="20"/>
              </w:rPr>
              <w:t>200</w:t>
            </w:r>
          </w:p>
        </w:tc>
      </w:tr>
      <w:tr w:rsidR="00846F8E" w:rsidRPr="00A1140E" w14:paraId="6D6B937F" w14:textId="77777777" w:rsidTr="005B6E8B">
        <w:tc>
          <w:tcPr>
            <w:tcW w:w="7295" w:type="dxa"/>
            <w:vAlign w:val="center"/>
          </w:tcPr>
          <w:p w14:paraId="6ABE613C" w14:textId="77777777" w:rsidR="00846F8E" w:rsidRPr="00A1140E" w:rsidRDefault="00846F8E" w:rsidP="005B6E8B">
            <w:pPr>
              <w:spacing w:before="60" w:after="60"/>
              <w:rPr>
                <w:rFonts w:cs="Arial"/>
                <w:color w:val="auto"/>
                <w:sz w:val="20"/>
                <w:szCs w:val="20"/>
              </w:rPr>
            </w:pPr>
            <w:r w:rsidRPr="00A1140E">
              <w:rPr>
                <w:rStyle w:val="Strong"/>
                <w:rFonts w:cs="Arial"/>
                <w:color w:val="auto"/>
                <w:sz w:val="20"/>
                <w:szCs w:val="20"/>
              </w:rPr>
              <w:t xml:space="preserve">Employment </w:t>
            </w:r>
            <w:r w:rsidRPr="00A1140E">
              <w:rPr>
                <w:rStyle w:val="Strong"/>
                <w:rFonts w:cs="Arial"/>
                <w:b w:val="0"/>
                <w:color w:val="auto"/>
                <w:sz w:val="20"/>
                <w:szCs w:val="20"/>
              </w:rPr>
              <w:t>(B1 Business, B2 General industrial, B8 Storage or distribution)</w:t>
            </w:r>
          </w:p>
        </w:tc>
        <w:tc>
          <w:tcPr>
            <w:tcW w:w="1417" w:type="dxa"/>
            <w:vAlign w:val="center"/>
          </w:tcPr>
          <w:p w14:paraId="24A51D8E" w14:textId="5026943F" w:rsidR="00846F8E" w:rsidRPr="000F02B8" w:rsidRDefault="00846F8E" w:rsidP="005B6E8B">
            <w:pPr>
              <w:spacing w:before="60" w:after="60"/>
              <w:jc w:val="center"/>
              <w:rPr>
                <w:rFonts w:cs="Arial"/>
                <w:color w:val="auto"/>
                <w:sz w:val="20"/>
                <w:szCs w:val="20"/>
              </w:rPr>
            </w:pPr>
            <w:r w:rsidRPr="000F02B8">
              <w:rPr>
                <w:rFonts w:cs="Arial"/>
                <w:color w:val="auto"/>
                <w:sz w:val="20"/>
                <w:szCs w:val="20"/>
              </w:rPr>
              <w:t>£</w:t>
            </w:r>
            <w:r w:rsidR="00E86961" w:rsidRPr="000F02B8">
              <w:rPr>
                <w:rFonts w:cs="Arial"/>
                <w:color w:val="auto"/>
                <w:sz w:val="20"/>
                <w:szCs w:val="20"/>
              </w:rPr>
              <w:t>50</w:t>
            </w:r>
          </w:p>
        </w:tc>
      </w:tr>
      <w:tr w:rsidR="00846F8E" w:rsidRPr="00A1140E" w14:paraId="390BD9AF" w14:textId="77777777" w:rsidTr="005B6E8B">
        <w:tc>
          <w:tcPr>
            <w:tcW w:w="7295" w:type="dxa"/>
            <w:vAlign w:val="center"/>
          </w:tcPr>
          <w:p w14:paraId="530650D8" w14:textId="77777777" w:rsidR="00846F8E" w:rsidRPr="00A1140E" w:rsidRDefault="00846F8E" w:rsidP="005B6E8B">
            <w:pPr>
              <w:spacing w:before="60" w:after="60"/>
              <w:rPr>
                <w:rFonts w:cs="Arial"/>
                <w:color w:val="auto"/>
                <w:sz w:val="20"/>
                <w:szCs w:val="20"/>
              </w:rPr>
            </w:pPr>
            <w:r w:rsidRPr="00A1140E">
              <w:rPr>
                <w:rStyle w:val="Strong"/>
                <w:rFonts w:cs="Arial"/>
                <w:color w:val="auto"/>
                <w:sz w:val="20"/>
                <w:szCs w:val="20"/>
              </w:rPr>
              <w:t xml:space="preserve">Hotels and Residential Institutions </w:t>
            </w:r>
            <w:r w:rsidRPr="00A1140E">
              <w:rPr>
                <w:rStyle w:val="Strong"/>
                <w:rFonts w:cs="Arial"/>
                <w:b w:val="0"/>
                <w:color w:val="auto"/>
                <w:sz w:val="20"/>
                <w:szCs w:val="20"/>
              </w:rPr>
              <w:t>(C1, C2 and C2a)</w:t>
            </w:r>
          </w:p>
        </w:tc>
        <w:tc>
          <w:tcPr>
            <w:tcW w:w="1417" w:type="dxa"/>
            <w:vAlign w:val="center"/>
          </w:tcPr>
          <w:p w14:paraId="345842EA" w14:textId="7D2E4198" w:rsidR="00846F8E" w:rsidRPr="000F02B8" w:rsidRDefault="00846F8E" w:rsidP="005B6E8B">
            <w:pPr>
              <w:spacing w:before="60" w:after="60"/>
              <w:jc w:val="center"/>
              <w:rPr>
                <w:rFonts w:cs="Arial"/>
                <w:color w:val="auto"/>
                <w:sz w:val="20"/>
                <w:szCs w:val="20"/>
              </w:rPr>
            </w:pPr>
            <w:r w:rsidRPr="000F02B8">
              <w:rPr>
                <w:rFonts w:cs="Arial"/>
                <w:color w:val="auto"/>
                <w:sz w:val="20"/>
                <w:szCs w:val="20"/>
              </w:rPr>
              <w:t>£</w:t>
            </w:r>
            <w:r w:rsidR="00E86961" w:rsidRPr="000F02B8">
              <w:rPr>
                <w:rFonts w:cs="Arial"/>
                <w:color w:val="auto"/>
                <w:sz w:val="20"/>
                <w:szCs w:val="20"/>
              </w:rPr>
              <w:t>50</w:t>
            </w:r>
          </w:p>
        </w:tc>
      </w:tr>
      <w:tr w:rsidR="00846F8E" w:rsidRPr="00A1140E" w14:paraId="1DA28DA1" w14:textId="77777777" w:rsidTr="005B6E8B">
        <w:tc>
          <w:tcPr>
            <w:tcW w:w="7295" w:type="dxa"/>
            <w:vAlign w:val="center"/>
          </w:tcPr>
          <w:p w14:paraId="16AADDC7" w14:textId="77777777" w:rsidR="00846F8E" w:rsidRPr="00A1140E" w:rsidRDefault="00846F8E" w:rsidP="005B6E8B">
            <w:pPr>
              <w:spacing w:before="60" w:after="60"/>
              <w:rPr>
                <w:rFonts w:cs="Arial"/>
                <w:color w:val="auto"/>
                <w:sz w:val="20"/>
                <w:szCs w:val="20"/>
              </w:rPr>
            </w:pPr>
            <w:r w:rsidRPr="00A1140E">
              <w:rPr>
                <w:rStyle w:val="Strong"/>
                <w:rFonts w:cs="Arial"/>
                <w:color w:val="auto"/>
                <w:sz w:val="20"/>
                <w:szCs w:val="20"/>
              </w:rPr>
              <w:t xml:space="preserve">Housing and HMOs </w:t>
            </w:r>
            <w:r w:rsidRPr="00A1140E">
              <w:rPr>
                <w:rStyle w:val="Strong"/>
                <w:rFonts w:cs="Arial"/>
                <w:b w:val="0"/>
                <w:color w:val="auto"/>
                <w:sz w:val="20"/>
                <w:szCs w:val="20"/>
              </w:rPr>
              <w:t>(C3 and C4)</w:t>
            </w:r>
          </w:p>
        </w:tc>
        <w:tc>
          <w:tcPr>
            <w:tcW w:w="1417" w:type="dxa"/>
            <w:vAlign w:val="center"/>
          </w:tcPr>
          <w:p w14:paraId="340ACE8C" w14:textId="59845309" w:rsidR="00846F8E" w:rsidRPr="000F02B8" w:rsidRDefault="00846F8E" w:rsidP="005B6E8B">
            <w:pPr>
              <w:spacing w:before="60" w:after="60"/>
              <w:jc w:val="center"/>
              <w:rPr>
                <w:rFonts w:cs="Arial"/>
                <w:color w:val="auto"/>
                <w:sz w:val="20"/>
                <w:szCs w:val="20"/>
              </w:rPr>
            </w:pPr>
            <w:r w:rsidRPr="000F02B8">
              <w:rPr>
                <w:rFonts w:cs="Arial"/>
                <w:color w:val="auto"/>
                <w:sz w:val="20"/>
                <w:szCs w:val="20"/>
              </w:rPr>
              <w:t>£</w:t>
            </w:r>
            <w:r w:rsidR="00E86961" w:rsidRPr="000F02B8">
              <w:rPr>
                <w:rFonts w:cs="Arial"/>
                <w:color w:val="auto"/>
                <w:sz w:val="20"/>
                <w:szCs w:val="20"/>
              </w:rPr>
              <w:t>200</w:t>
            </w:r>
          </w:p>
        </w:tc>
      </w:tr>
      <w:tr w:rsidR="00846F8E" w:rsidRPr="00A1140E" w14:paraId="1595DA6D" w14:textId="77777777" w:rsidTr="005B6E8B">
        <w:tc>
          <w:tcPr>
            <w:tcW w:w="7295" w:type="dxa"/>
            <w:vAlign w:val="center"/>
          </w:tcPr>
          <w:p w14:paraId="002018E2" w14:textId="77777777" w:rsidR="00846F8E" w:rsidRPr="00A1140E" w:rsidRDefault="00846F8E" w:rsidP="005B6E8B">
            <w:pPr>
              <w:spacing w:before="60" w:after="60"/>
              <w:rPr>
                <w:rStyle w:val="Strong"/>
                <w:rFonts w:cs="Arial"/>
                <w:b w:val="0"/>
                <w:color w:val="auto"/>
                <w:sz w:val="20"/>
                <w:szCs w:val="20"/>
              </w:rPr>
            </w:pPr>
            <w:r w:rsidRPr="00A1140E">
              <w:rPr>
                <w:rFonts w:cs="Arial"/>
                <w:b/>
                <w:color w:val="auto"/>
                <w:sz w:val="20"/>
                <w:szCs w:val="20"/>
              </w:rPr>
              <w:t>Student accommodation</w:t>
            </w:r>
          </w:p>
        </w:tc>
        <w:tc>
          <w:tcPr>
            <w:tcW w:w="1417" w:type="dxa"/>
            <w:vAlign w:val="center"/>
          </w:tcPr>
          <w:p w14:paraId="6A673CD6" w14:textId="1D2571CF" w:rsidR="00846F8E" w:rsidRPr="000F02B8" w:rsidRDefault="00846F8E" w:rsidP="005B6E8B">
            <w:pPr>
              <w:spacing w:before="60" w:after="60"/>
              <w:jc w:val="center"/>
              <w:rPr>
                <w:rFonts w:cs="Arial"/>
                <w:color w:val="auto"/>
                <w:sz w:val="20"/>
                <w:szCs w:val="20"/>
              </w:rPr>
            </w:pPr>
            <w:r w:rsidRPr="000F02B8">
              <w:rPr>
                <w:rFonts w:cs="Arial"/>
                <w:color w:val="auto"/>
                <w:sz w:val="20"/>
                <w:szCs w:val="20"/>
              </w:rPr>
              <w:t>£</w:t>
            </w:r>
            <w:r w:rsidR="00E86961" w:rsidRPr="000F02B8">
              <w:rPr>
                <w:rFonts w:cs="Arial"/>
                <w:color w:val="auto"/>
                <w:sz w:val="20"/>
                <w:szCs w:val="20"/>
              </w:rPr>
              <w:t>200</w:t>
            </w:r>
          </w:p>
        </w:tc>
      </w:tr>
      <w:tr w:rsidR="00846F8E" w:rsidRPr="00A1140E" w14:paraId="37C252CE" w14:textId="77777777" w:rsidTr="005B6E8B">
        <w:tc>
          <w:tcPr>
            <w:tcW w:w="7295" w:type="dxa"/>
            <w:vAlign w:val="center"/>
          </w:tcPr>
          <w:p w14:paraId="30E9530D" w14:textId="77777777" w:rsidR="00846F8E" w:rsidRPr="00A1140E" w:rsidRDefault="00846F8E" w:rsidP="005B6E8B">
            <w:pPr>
              <w:spacing w:before="60" w:after="60"/>
              <w:rPr>
                <w:rFonts w:cs="Arial"/>
                <w:color w:val="auto"/>
                <w:sz w:val="20"/>
                <w:szCs w:val="20"/>
              </w:rPr>
            </w:pPr>
            <w:r w:rsidRPr="00A1140E">
              <w:rPr>
                <w:rStyle w:val="Strong"/>
                <w:rFonts w:cs="Arial"/>
                <w:color w:val="auto"/>
                <w:sz w:val="20"/>
                <w:szCs w:val="20"/>
              </w:rPr>
              <w:t>Non-residential institutions and Assembly and leisure (D1-D2)</w:t>
            </w:r>
          </w:p>
        </w:tc>
        <w:tc>
          <w:tcPr>
            <w:tcW w:w="1417" w:type="dxa"/>
            <w:vAlign w:val="center"/>
          </w:tcPr>
          <w:p w14:paraId="0223F032" w14:textId="2BFE9994" w:rsidR="00846F8E" w:rsidRPr="000F02B8" w:rsidRDefault="00846F8E" w:rsidP="005B6E8B">
            <w:pPr>
              <w:spacing w:before="60" w:after="60"/>
              <w:jc w:val="center"/>
              <w:rPr>
                <w:rFonts w:cs="Arial"/>
                <w:color w:val="auto"/>
                <w:sz w:val="20"/>
                <w:szCs w:val="20"/>
              </w:rPr>
            </w:pPr>
            <w:r w:rsidRPr="000F02B8">
              <w:rPr>
                <w:rFonts w:cs="Arial"/>
                <w:color w:val="auto"/>
                <w:sz w:val="20"/>
                <w:szCs w:val="20"/>
              </w:rPr>
              <w:t>£</w:t>
            </w:r>
            <w:r w:rsidR="00E86961" w:rsidRPr="000F02B8">
              <w:rPr>
                <w:rFonts w:cs="Arial"/>
                <w:color w:val="auto"/>
                <w:sz w:val="20"/>
                <w:szCs w:val="20"/>
              </w:rPr>
              <w:t>50</w:t>
            </w:r>
          </w:p>
        </w:tc>
      </w:tr>
      <w:tr w:rsidR="00846F8E" w:rsidRPr="00A1140E" w14:paraId="69D9B3F3" w14:textId="77777777" w:rsidTr="005B6E8B">
        <w:tc>
          <w:tcPr>
            <w:tcW w:w="7295" w:type="dxa"/>
            <w:vAlign w:val="center"/>
          </w:tcPr>
          <w:p w14:paraId="34EF7BDC" w14:textId="77777777" w:rsidR="00846F8E" w:rsidRPr="00A1140E" w:rsidRDefault="00846F8E" w:rsidP="005B6E8B">
            <w:pPr>
              <w:spacing w:before="60" w:after="60"/>
              <w:rPr>
                <w:rFonts w:cs="Arial"/>
                <w:b/>
                <w:color w:val="auto"/>
                <w:sz w:val="20"/>
                <w:szCs w:val="20"/>
              </w:rPr>
            </w:pPr>
            <w:r w:rsidRPr="00A1140E">
              <w:rPr>
                <w:rFonts w:cs="Arial"/>
                <w:b/>
                <w:color w:val="auto"/>
                <w:sz w:val="20"/>
                <w:szCs w:val="20"/>
              </w:rPr>
              <w:t>All development types unless stated otherwise in this table</w:t>
            </w:r>
          </w:p>
        </w:tc>
        <w:tc>
          <w:tcPr>
            <w:tcW w:w="1417" w:type="dxa"/>
            <w:vAlign w:val="center"/>
          </w:tcPr>
          <w:p w14:paraId="626F7B4A" w14:textId="1F1DDB7E" w:rsidR="00846F8E" w:rsidRPr="000F02B8" w:rsidRDefault="00846F8E" w:rsidP="005B6E8B">
            <w:pPr>
              <w:spacing w:before="60" w:after="60"/>
              <w:jc w:val="center"/>
              <w:rPr>
                <w:rFonts w:cs="Arial"/>
                <w:color w:val="auto"/>
                <w:sz w:val="20"/>
                <w:szCs w:val="20"/>
              </w:rPr>
            </w:pPr>
            <w:r w:rsidRPr="000F02B8">
              <w:rPr>
                <w:rFonts w:cs="Arial"/>
                <w:color w:val="auto"/>
                <w:sz w:val="20"/>
                <w:szCs w:val="20"/>
              </w:rPr>
              <w:t>£</w:t>
            </w:r>
            <w:r w:rsidR="00E86961" w:rsidRPr="000F02B8">
              <w:rPr>
                <w:rFonts w:cs="Arial"/>
                <w:color w:val="auto"/>
                <w:sz w:val="20"/>
                <w:szCs w:val="20"/>
              </w:rPr>
              <w:t>50</w:t>
            </w:r>
          </w:p>
        </w:tc>
      </w:tr>
    </w:tbl>
    <w:p w14:paraId="5FD96AF6" w14:textId="3F0B68C6" w:rsidR="00846F8E" w:rsidRPr="000F02B8" w:rsidRDefault="000F02B8" w:rsidP="000F02B8">
      <w:pPr>
        <w:pStyle w:val="bParagraphtext"/>
        <w:numPr>
          <w:ilvl w:val="0"/>
          <w:numId w:val="0"/>
        </w:numPr>
        <w:ind w:left="426" w:hanging="142"/>
        <w:rPr>
          <w:i/>
          <w:sz w:val="20"/>
        </w:rPr>
      </w:pPr>
      <w:r>
        <w:rPr>
          <w:i/>
          <w:sz w:val="20"/>
        </w:rPr>
        <w:t>*</w:t>
      </w:r>
      <w:r w:rsidRPr="000F02B8">
        <w:rPr>
          <w:i/>
          <w:sz w:val="20"/>
        </w:rPr>
        <w:t xml:space="preserve">CIL rates to undergo further sensitivity testing </w:t>
      </w:r>
      <w:r>
        <w:rPr>
          <w:i/>
          <w:sz w:val="20"/>
        </w:rPr>
        <w:t xml:space="preserve">through the Economic Viability Study </w:t>
      </w:r>
      <w:r w:rsidRPr="000F02B8">
        <w:rPr>
          <w:i/>
          <w:sz w:val="20"/>
        </w:rPr>
        <w:t>and Members will be updated verbally at CEB.</w:t>
      </w:r>
    </w:p>
    <w:p w14:paraId="32E9389C" w14:textId="77777777" w:rsidR="00846F8E" w:rsidRPr="00B62BB2" w:rsidRDefault="00846F8E" w:rsidP="00846F8E">
      <w:pPr>
        <w:pStyle w:val="ListParagraph"/>
        <w:numPr>
          <w:ilvl w:val="0"/>
          <w:numId w:val="0"/>
        </w:numPr>
        <w:ind w:left="426" w:hanging="426"/>
        <w:rPr>
          <w:b/>
        </w:rPr>
      </w:pPr>
      <w:r w:rsidRPr="00B62BB2">
        <w:rPr>
          <w:b/>
        </w:rPr>
        <w:t>Consultation</w:t>
      </w:r>
      <w:r>
        <w:rPr>
          <w:b/>
        </w:rPr>
        <w:t xml:space="preserve"> on the Preliminary Draft Charging Schedule</w:t>
      </w:r>
    </w:p>
    <w:p w14:paraId="564B9810" w14:textId="4FC4CA42" w:rsidR="00846F8E" w:rsidRDefault="00BD2517" w:rsidP="00846F8E">
      <w:pPr>
        <w:pStyle w:val="bParagraphtext"/>
        <w:rPr>
          <w:rStyle w:val="Firstpagetablebold"/>
          <w:b w:val="0"/>
        </w:rPr>
      </w:pPr>
      <w:r w:rsidRPr="00846F8E">
        <w:rPr>
          <w:rStyle w:val="Firstpagetablebold"/>
          <w:b w:val="0"/>
        </w:rPr>
        <w:t>Consultation will ta</w:t>
      </w:r>
      <w:r w:rsidR="00E86961">
        <w:rPr>
          <w:rStyle w:val="Firstpagetablebold"/>
          <w:b w:val="0"/>
        </w:rPr>
        <w:t xml:space="preserve">ke place for 6 weeks </w:t>
      </w:r>
      <w:r w:rsidR="00AA2D9E">
        <w:rPr>
          <w:rStyle w:val="Firstpagetablebold"/>
          <w:b w:val="0"/>
        </w:rPr>
        <w:t xml:space="preserve">and is likely to be </w:t>
      </w:r>
      <w:r w:rsidR="00E86961">
        <w:rPr>
          <w:rStyle w:val="Firstpagetablebold"/>
          <w:b w:val="0"/>
        </w:rPr>
        <w:t xml:space="preserve">in </w:t>
      </w:r>
      <w:r w:rsidRPr="00846F8E">
        <w:rPr>
          <w:rStyle w:val="Firstpagetablebold"/>
          <w:b w:val="0"/>
        </w:rPr>
        <w:t>February</w:t>
      </w:r>
      <w:r w:rsidR="00E86961">
        <w:rPr>
          <w:rStyle w:val="Firstpagetablebold"/>
          <w:b w:val="0"/>
        </w:rPr>
        <w:t>/March</w:t>
      </w:r>
      <w:r w:rsidRPr="00846F8E">
        <w:rPr>
          <w:rStyle w:val="Firstpagetablebold"/>
          <w:b w:val="0"/>
        </w:rPr>
        <w:t xml:space="preserve"> 2018.</w:t>
      </w:r>
    </w:p>
    <w:p w14:paraId="1DFAC991" w14:textId="4ED5EF0E" w:rsidR="00846F8E" w:rsidRDefault="00721C3E" w:rsidP="00846F8E">
      <w:pPr>
        <w:pStyle w:val="bParagraphtext"/>
        <w:rPr>
          <w:rStyle w:val="Firstpagetablebold"/>
          <w:b w:val="0"/>
        </w:rPr>
      </w:pPr>
      <w:r>
        <w:rPr>
          <w:rStyle w:val="Firstpagetablebold"/>
          <w:b w:val="0"/>
        </w:rPr>
        <w:t>The Council will</w:t>
      </w:r>
      <w:r w:rsidR="005A5399" w:rsidRPr="00846F8E">
        <w:rPr>
          <w:rStyle w:val="Firstpagetablebold"/>
          <w:b w:val="0"/>
        </w:rPr>
        <w:t xml:space="preserve"> consult </w:t>
      </w:r>
      <w:r>
        <w:rPr>
          <w:rStyle w:val="Firstpagetablebold"/>
          <w:b w:val="0"/>
        </w:rPr>
        <w:t xml:space="preserve">groups including </w:t>
      </w:r>
      <w:r w:rsidR="00AF4CA8" w:rsidRPr="00846F8E">
        <w:rPr>
          <w:rStyle w:val="Firstpagetablebold"/>
          <w:b w:val="0"/>
        </w:rPr>
        <w:t xml:space="preserve">developers, </w:t>
      </w:r>
      <w:r w:rsidR="003305A2" w:rsidRPr="00846F8E">
        <w:rPr>
          <w:rStyle w:val="Firstpagetablebold"/>
          <w:b w:val="0"/>
        </w:rPr>
        <w:t xml:space="preserve">planning agents, </w:t>
      </w:r>
      <w:r w:rsidR="00B62BB2" w:rsidRPr="00846F8E">
        <w:rPr>
          <w:rStyle w:val="Firstpagetablebold"/>
          <w:b w:val="0"/>
        </w:rPr>
        <w:t xml:space="preserve">stakeholders, Parish Councils, </w:t>
      </w:r>
      <w:r w:rsidR="00AF4CA8" w:rsidRPr="00846F8E">
        <w:rPr>
          <w:rStyle w:val="Firstpagetablebold"/>
          <w:b w:val="0"/>
        </w:rPr>
        <w:t>Residents Groups</w:t>
      </w:r>
      <w:r w:rsidR="00D265F1" w:rsidRPr="00846F8E">
        <w:rPr>
          <w:rStyle w:val="Firstpagetablebold"/>
          <w:b w:val="0"/>
        </w:rPr>
        <w:t>,</w:t>
      </w:r>
      <w:r w:rsidR="00AF4CA8" w:rsidRPr="00846F8E">
        <w:rPr>
          <w:rStyle w:val="Firstpagetablebold"/>
          <w:b w:val="0"/>
        </w:rPr>
        <w:t xml:space="preserve"> </w:t>
      </w:r>
      <w:r w:rsidR="00B62BB2" w:rsidRPr="00846F8E">
        <w:rPr>
          <w:rStyle w:val="Firstpagetablebold"/>
          <w:b w:val="0"/>
        </w:rPr>
        <w:t>Neighbourhood</w:t>
      </w:r>
      <w:r w:rsidR="00AF4CA8" w:rsidRPr="00846F8E">
        <w:rPr>
          <w:rStyle w:val="Firstpagetablebold"/>
          <w:b w:val="0"/>
        </w:rPr>
        <w:t xml:space="preserve"> Forums</w:t>
      </w:r>
      <w:r w:rsidR="00B62BB2" w:rsidRPr="00846F8E">
        <w:rPr>
          <w:rStyle w:val="Firstpagetablebold"/>
          <w:b w:val="0"/>
        </w:rPr>
        <w:t xml:space="preserve">, </w:t>
      </w:r>
      <w:r w:rsidR="00AF4CA8" w:rsidRPr="00846F8E">
        <w:rPr>
          <w:rStyle w:val="Firstpagetablebold"/>
          <w:b w:val="0"/>
        </w:rPr>
        <w:t xml:space="preserve">Oxfordshire </w:t>
      </w:r>
      <w:r w:rsidR="00B62BB2" w:rsidRPr="00846F8E">
        <w:rPr>
          <w:rStyle w:val="Firstpagetablebold"/>
          <w:b w:val="0"/>
        </w:rPr>
        <w:t>County Council, adjoining Councils</w:t>
      </w:r>
      <w:r w:rsidR="00AF4CA8" w:rsidRPr="00846F8E">
        <w:rPr>
          <w:rStyle w:val="Firstpagetablebold"/>
          <w:b w:val="0"/>
        </w:rPr>
        <w:t>, infrastructure providers</w:t>
      </w:r>
      <w:r w:rsidR="00B62BB2" w:rsidRPr="00846F8E">
        <w:rPr>
          <w:rStyle w:val="Firstpagetablebold"/>
          <w:b w:val="0"/>
        </w:rPr>
        <w:t xml:space="preserve"> and other </w:t>
      </w:r>
      <w:r w:rsidR="00AF4CA8" w:rsidRPr="00846F8E">
        <w:rPr>
          <w:rStyle w:val="Firstpagetablebold"/>
          <w:b w:val="0"/>
        </w:rPr>
        <w:t xml:space="preserve">likely </w:t>
      </w:r>
      <w:r w:rsidR="00B62BB2" w:rsidRPr="00846F8E">
        <w:rPr>
          <w:rStyle w:val="Firstpagetablebold"/>
          <w:b w:val="0"/>
        </w:rPr>
        <w:t>interested parties</w:t>
      </w:r>
      <w:r w:rsidR="00BA2D25" w:rsidRPr="00846F8E">
        <w:rPr>
          <w:rStyle w:val="Firstpagetablebold"/>
          <w:b w:val="0"/>
        </w:rPr>
        <w:t>.</w:t>
      </w:r>
      <w:r w:rsidR="00D265F1" w:rsidRPr="00846F8E">
        <w:rPr>
          <w:rStyle w:val="Firstpagetablebold"/>
          <w:b w:val="0"/>
        </w:rPr>
        <w:t xml:space="preserve"> The</w:t>
      </w:r>
      <w:r w:rsidR="00AF4CA8" w:rsidRPr="00846F8E">
        <w:rPr>
          <w:rStyle w:val="Firstpagetablebold"/>
          <w:b w:val="0"/>
        </w:rPr>
        <w:t xml:space="preserve"> consultation will be </w:t>
      </w:r>
      <w:r w:rsidR="00D265F1" w:rsidRPr="00846F8E">
        <w:rPr>
          <w:rStyle w:val="Firstpagetablebold"/>
          <w:b w:val="0"/>
        </w:rPr>
        <w:t xml:space="preserve">undertaken </w:t>
      </w:r>
      <w:r w:rsidR="00AF4CA8" w:rsidRPr="00846F8E">
        <w:rPr>
          <w:rStyle w:val="Firstpagetablebold"/>
          <w:b w:val="0"/>
        </w:rPr>
        <w:t>in line with our adopted Statement of Community Involvement</w:t>
      </w:r>
      <w:r w:rsidR="00BA2D25" w:rsidRPr="00846F8E">
        <w:rPr>
          <w:rStyle w:val="Firstpagetablebold"/>
          <w:b w:val="0"/>
        </w:rPr>
        <w:t>.</w:t>
      </w:r>
    </w:p>
    <w:p w14:paraId="6E3F9656" w14:textId="693D9E45" w:rsidR="00846F8E" w:rsidRDefault="00AA2D9E" w:rsidP="00846F8E">
      <w:pPr>
        <w:pStyle w:val="bParagraphtext"/>
      </w:pPr>
      <w:r>
        <w:t>Likely s</w:t>
      </w:r>
      <w:r w:rsidR="00451B02">
        <w:t>tages of the process: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1843"/>
      </w:tblGrid>
      <w:tr w:rsidR="00846F8E" w14:paraId="588AAC03" w14:textId="77777777" w:rsidTr="00EC0B2C">
        <w:trPr>
          <w:trHeight w:val="53"/>
        </w:trPr>
        <w:tc>
          <w:tcPr>
            <w:tcW w:w="7053" w:type="dxa"/>
            <w:shd w:val="clear" w:color="auto" w:fill="auto"/>
            <w:vAlign w:val="center"/>
          </w:tcPr>
          <w:p w14:paraId="0F801706" w14:textId="77777777" w:rsidR="00846F8E" w:rsidRPr="00EC0B2C" w:rsidRDefault="00846F8E" w:rsidP="00EC0B2C">
            <w:pPr>
              <w:spacing w:before="60" w:after="60"/>
              <w:rPr>
                <w:sz w:val="20"/>
                <w:szCs w:val="20"/>
              </w:rPr>
            </w:pPr>
            <w:r w:rsidRPr="00EC0B2C">
              <w:rPr>
                <w:sz w:val="20"/>
                <w:szCs w:val="20"/>
              </w:rPr>
              <w:t>Preliminary Draft Charging Schedule (PDCS) Consultation</w:t>
            </w:r>
          </w:p>
        </w:tc>
        <w:tc>
          <w:tcPr>
            <w:tcW w:w="1843" w:type="dxa"/>
            <w:shd w:val="clear" w:color="auto" w:fill="auto"/>
            <w:vAlign w:val="center"/>
          </w:tcPr>
          <w:p w14:paraId="3FFFEF43" w14:textId="790B09A4" w:rsidR="00846F8E" w:rsidRPr="00EC0B2C" w:rsidRDefault="00846F8E" w:rsidP="00EC0B2C">
            <w:pPr>
              <w:pStyle w:val="bParagraphtext"/>
              <w:numPr>
                <w:ilvl w:val="0"/>
                <w:numId w:val="0"/>
              </w:numPr>
              <w:spacing w:before="60" w:after="60"/>
              <w:rPr>
                <w:sz w:val="20"/>
                <w:szCs w:val="20"/>
              </w:rPr>
            </w:pPr>
            <w:r w:rsidRPr="00EC0B2C">
              <w:rPr>
                <w:sz w:val="20"/>
                <w:szCs w:val="20"/>
              </w:rPr>
              <w:t>Feb</w:t>
            </w:r>
            <w:r w:rsidR="00845DD6">
              <w:rPr>
                <w:sz w:val="20"/>
                <w:szCs w:val="20"/>
              </w:rPr>
              <w:t>/Mar</w:t>
            </w:r>
            <w:r w:rsidRPr="00EC0B2C">
              <w:rPr>
                <w:sz w:val="20"/>
                <w:szCs w:val="20"/>
              </w:rPr>
              <w:t xml:space="preserve"> 2018</w:t>
            </w:r>
          </w:p>
        </w:tc>
      </w:tr>
      <w:tr w:rsidR="00846F8E" w14:paraId="277E114A" w14:textId="77777777" w:rsidTr="00EC0B2C">
        <w:trPr>
          <w:trHeight w:val="53"/>
        </w:trPr>
        <w:tc>
          <w:tcPr>
            <w:tcW w:w="7053" w:type="dxa"/>
            <w:shd w:val="clear" w:color="auto" w:fill="auto"/>
            <w:vAlign w:val="center"/>
          </w:tcPr>
          <w:p w14:paraId="5AF5E4A7" w14:textId="77777777" w:rsidR="00846F8E" w:rsidRPr="00EC0B2C" w:rsidRDefault="00846F8E" w:rsidP="00EC0B2C">
            <w:pPr>
              <w:pStyle w:val="bParagraphtext"/>
              <w:numPr>
                <w:ilvl w:val="0"/>
                <w:numId w:val="0"/>
              </w:numPr>
              <w:spacing w:before="60" w:after="60"/>
              <w:rPr>
                <w:sz w:val="20"/>
                <w:szCs w:val="20"/>
              </w:rPr>
            </w:pPr>
            <w:r w:rsidRPr="00EC0B2C">
              <w:rPr>
                <w:sz w:val="20"/>
                <w:szCs w:val="20"/>
              </w:rPr>
              <w:t xml:space="preserve">Draft Charging Schedule (DCS) Consultation </w:t>
            </w:r>
          </w:p>
        </w:tc>
        <w:tc>
          <w:tcPr>
            <w:tcW w:w="1843" w:type="dxa"/>
            <w:shd w:val="clear" w:color="auto" w:fill="auto"/>
            <w:vAlign w:val="center"/>
          </w:tcPr>
          <w:p w14:paraId="2651B449" w14:textId="7424B49D" w:rsidR="00846F8E" w:rsidRPr="00EC0B2C" w:rsidRDefault="00845DD6" w:rsidP="00EC0B2C">
            <w:pPr>
              <w:pStyle w:val="bParagraphtext"/>
              <w:numPr>
                <w:ilvl w:val="0"/>
                <w:numId w:val="0"/>
              </w:numPr>
              <w:spacing w:before="60" w:after="60"/>
              <w:rPr>
                <w:sz w:val="20"/>
                <w:szCs w:val="20"/>
              </w:rPr>
            </w:pPr>
            <w:r>
              <w:rPr>
                <w:sz w:val="20"/>
                <w:szCs w:val="20"/>
              </w:rPr>
              <w:t>Sept</w:t>
            </w:r>
            <w:r w:rsidR="00846F8E" w:rsidRPr="00EC0B2C">
              <w:rPr>
                <w:sz w:val="20"/>
                <w:szCs w:val="20"/>
              </w:rPr>
              <w:t xml:space="preserve"> 2018</w:t>
            </w:r>
          </w:p>
        </w:tc>
      </w:tr>
      <w:tr w:rsidR="00846F8E" w14:paraId="360674B9" w14:textId="77777777" w:rsidTr="005B6E8B">
        <w:tc>
          <w:tcPr>
            <w:tcW w:w="7053" w:type="dxa"/>
            <w:shd w:val="clear" w:color="auto" w:fill="auto"/>
            <w:vAlign w:val="center"/>
          </w:tcPr>
          <w:p w14:paraId="2A6A0346" w14:textId="77777777" w:rsidR="00846F8E" w:rsidRPr="00EC0B2C" w:rsidRDefault="00846F8E" w:rsidP="00EC0B2C">
            <w:pPr>
              <w:pStyle w:val="bParagraphtext"/>
              <w:numPr>
                <w:ilvl w:val="0"/>
                <w:numId w:val="0"/>
              </w:numPr>
              <w:spacing w:before="60" w:after="60"/>
              <w:rPr>
                <w:sz w:val="20"/>
                <w:szCs w:val="20"/>
              </w:rPr>
            </w:pPr>
            <w:r w:rsidRPr="00EC0B2C">
              <w:rPr>
                <w:sz w:val="20"/>
                <w:szCs w:val="20"/>
              </w:rPr>
              <w:t>Submit Charging Schedule (CS) to Secretary of State alongside the Local Plan 2036</w:t>
            </w:r>
          </w:p>
        </w:tc>
        <w:tc>
          <w:tcPr>
            <w:tcW w:w="1843" w:type="dxa"/>
            <w:shd w:val="clear" w:color="auto" w:fill="auto"/>
            <w:vAlign w:val="center"/>
          </w:tcPr>
          <w:p w14:paraId="400C6188" w14:textId="416DE50C" w:rsidR="00846F8E" w:rsidRPr="00EC0B2C" w:rsidRDefault="00DE6160" w:rsidP="00EC0B2C">
            <w:pPr>
              <w:pStyle w:val="bParagraphtext"/>
              <w:numPr>
                <w:ilvl w:val="0"/>
                <w:numId w:val="0"/>
              </w:numPr>
              <w:spacing w:before="60" w:after="60"/>
              <w:rPr>
                <w:sz w:val="20"/>
                <w:szCs w:val="20"/>
              </w:rPr>
            </w:pPr>
            <w:r>
              <w:rPr>
                <w:sz w:val="20"/>
                <w:szCs w:val="20"/>
              </w:rPr>
              <w:t>Late</w:t>
            </w:r>
            <w:r w:rsidR="00846F8E" w:rsidRPr="00EC0B2C">
              <w:rPr>
                <w:sz w:val="20"/>
                <w:szCs w:val="20"/>
              </w:rPr>
              <w:t xml:space="preserve"> 2018</w:t>
            </w:r>
            <w:r>
              <w:rPr>
                <w:sz w:val="20"/>
                <w:szCs w:val="20"/>
              </w:rPr>
              <w:t>/early 2019</w:t>
            </w:r>
            <w:r w:rsidR="00846F8E" w:rsidRPr="00EC0B2C">
              <w:rPr>
                <w:sz w:val="20"/>
                <w:szCs w:val="20"/>
              </w:rPr>
              <w:t xml:space="preserve"> </w:t>
            </w:r>
          </w:p>
        </w:tc>
      </w:tr>
      <w:tr w:rsidR="00846F8E" w14:paraId="6729134C" w14:textId="77777777" w:rsidTr="005B6E8B">
        <w:tc>
          <w:tcPr>
            <w:tcW w:w="7053" w:type="dxa"/>
            <w:shd w:val="clear" w:color="auto" w:fill="auto"/>
            <w:vAlign w:val="center"/>
          </w:tcPr>
          <w:p w14:paraId="30B8C0A3" w14:textId="77777777" w:rsidR="00846F8E" w:rsidRPr="00EC0B2C" w:rsidRDefault="00846F8E" w:rsidP="00EC0B2C">
            <w:pPr>
              <w:pStyle w:val="bParagraphtext"/>
              <w:numPr>
                <w:ilvl w:val="0"/>
                <w:numId w:val="0"/>
              </w:numPr>
              <w:spacing w:before="60" w:after="60"/>
              <w:rPr>
                <w:sz w:val="20"/>
                <w:szCs w:val="20"/>
              </w:rPr>
            </w:pPr>
            <w:r w:rsidRPr="00EC0B2C">
              <w:rPr>
                <w:sz w:val="20"/>
                <w:szCs w:val="20"/>
              </w:rPr>
              <w:t>Examination by an independent Inspector alongside the Local Plan 2036</w:t>
            </w:r>
          </w:p>
        </w:tc>
        <w:tc>
          <w:tcPr>
            <w:tcW w:w="1843" w:type="dxa"/>
            <w:shd w:val="clear" w:color="auto" w:fill="auto"/>
            <w:vAlign w:val="center"/>
          </w:tcPr>
          <w:p w14:paraId="3AC3087A" w14:textId="77777777" w:rsidR="00846F8E" w:rsidRPr="00EC0B2C" w:rsidRDefault="00846F8E" w:rsidP="00EC0B2C">
            <w:pPr>
              <w:pStyle w:val="bParagraphtext"/>
              <w:numPr>
                <w:ilvl w:val="0"/>
                <w:numId w:val="0"/>
              </w:numPr>
              <w:spacing w:before="60" w:after="60"/>
              <w:rPr>
                <w:sz w:val="20"/>
                <w:szCs w:val="20"/>
              </w:rPr>
            </w:pPr>
            <w:r w:rsidRPr="00EC0B2C">
              <w:rPr>
                <w:sz w:val="20"/>
                <w:szCs w:val="20"/>
              </w:rPr>
              <w:t xml:space="preserve">Spring 2019 </w:t>
            </w:r>
          </w:p>
        </w:tc>
      </w:tr>
      <w:tr w:rsidR="00846F8E" w14:paraId="4813AF23" w14:textId="77777777" w:rsidTr="005B6E8B">
        <w:tc>
          <w:tcPr>
            <w:tcW w:w="7053" w:type="dxa"/>
            <w:shd w:val="clear" w:color="auto" w:fill="auto"/>
            <w:vAlign w:val="center"/>
          </w:tcPr>
          <w:p w14:paraId="2DD648CA" w14:textId="77777777" w:rsidR="00846F8E" w:rsidRPr="00EC0B2C" w:rsidRDefault="00846F8E" w:rsidP="00EC0B2C">
            <w:pPr>
              <w:pStyle w:val="bParagraphtext"/>
              <w:numPr>
                <w:ilvl w:val="0"/>
                <w:numId w:val="0"/>
              </w:numPr>
              <w:spacing w:before="60" w:after="60"/>
              <w:rPr>
                <w:sz w:val="20"/>
                <w:szCs w:val="20"/>
              </w:rPr>
            </w:pPr>
            <w:r w:rsidRPr="00EC0B2C">
              <w:rPr>
                <w:sz w:val="20"/>
                <w:szCs w:val="20"/>
              </w:rPr>
              <w:t>Adopt CIL Charging Schedule</w:t>
            </w:r>
          </w:p>
        </w:tc>
        <w:tc>
          <w:tcPr>
            <w:tcW w:w="1843" w:type="dxa"/>
            <w:shd w:val="clear" w:color="auto" w:fill="auto"/>
            <w:vAlign w:val="center"/>
          </w:tcPr>
          <w:p w14:paraId="10B342BB" w14:textId="77777777" w:rsidR="00846F8E" w:rsidRPr="00EC0B2C" w:rsidRDefault="00846F8E" w:rsidP="00EC0B2C">
            <w:pPr>
              <w:pStyle w:val="bParagraphtext"/>
              <w:numPr>
                <w:ilvl w:val="0"/>
                <w:numId w:val="0"/>
              </w:numPr>
              <w:spacing w:before="60" w:after="60"/>
              <w:rPr>
                <w:sz w:val="20"/>
                <w:szCs w:val="20"/>
              </w:rPr>
            </w:pPr>
            <w:r w:rsidRPr="00EC0B2C">
              <w:rPr>
                <w:sz w:val="20"/>
                <w:szCs w:val="20"/>
              </w:rPr>
              <w:t>July 2019</w:t>
            </w:r>
          </w:p>
        </w:tc>
      </w:tr>
      <w:tr w:rsidR="00846F8E" w14:paraId="3246E918" w14:textId="77777777" w:rsidTr="005B6E8B">
        <w:tc>
          <w:tcPr>
            <w:tcW w:w="7053" w:type="dxa"/>
            <w:shd w:val="clear" w:color="auto" w:fill="auto"/>
            <w:vAlign w:val="center"/>
          </w:tcPr>
          <w:p w14:paraId="3632BC30" w14:textId="77777777" w:rsidR="00846F8E" w:rsidRPr="00EC0B2C" w:rsidRDefault="00846F8E" w:rsidP="00EC0B2C">
            <w:pPr>
              <w:pStyle w:val="bParagraphtext"/>
              <w:numPr>
                <w:ilvl w:val="0"/>
                <w:numId w:val="0"/>
              </w:numPr>
              <w:spacing w:before="60" w:after="60"/>
              <w:rPr>
                <w:sz w:val="20"/>
                <w:szCs w:val="20"/>
              </w:rPr>
            </w:pPr>
            <w:r w:rsidRPr="00EC0B2C">
              <w:rPr>
                <w:sz w:val="20"/>
                <w:szCs w:val="20"/>
              </w:rPr>
              <w:t xml:space="preserve">Update the Affordable Housing and Planning Obligations Supplementary </w:t>
            </w:r>
            <w:r w:rsidRPr="00EC0B2C">
              <w:rPr>
                <w:sz w:val="20"/>
                <w:szCs w:val="20"/>
              </w:rPr>
              <w:lastRenderedPageBreak/>
              <w:t>Planning Document</w:t>
            </w:r>
          </w:p>
        </w:tc>
        <w:tc>
          <w:tcPr>
            <w:tcW w:w="1843" w:type="dxa"/>
            <w:shd w:val="clear" w:color="auto" w:fill="auto"/>
            <w:vAlign w:val="center"/>
          </w:tcPr>
          <w:p w14:paraId="536A5B8C" w14:textId="77777777" w:rsidR="00846F8E" w:rsidRPr="00EC0B2C" w:rsidRDefault="00846F8E" w:rsidP="00EC0B2C">
            <w:pPr>
              <w:pStyle w:val="bParagraphtext"/>
              <w:numPr>
                <w:ilvl w:val="0"/>
                <w:numId w:val="0"/>
              </w:numPr>
              <w:spacing w:before="60" w:after="60"/>
              <w:rPr>
                <w:sz w:val="20"/>
                <w:szCs w:val="20"/>
              </w:rPr>
            </w:pPr>
            <w:r w:rsidRPr="00EC0B2C">
              <w:rPr>
                <w:sz w:val="20"/>
                <w:szCs w:val="20"/>
              </w:rPr>
              <w:lastRenderedPageBreak/>
              <w:t>Post-July 2019</w:t>
            </w:r>
          </w:p>
        </w:tc>
      </w:tr>
    </w:tbl>
    <w:p w14:paraId="4876F1C5" w14:textId="77777777" w:rsidR="00F80018" w:rsidRDefault="00F80018" w:rsidP="00846F8E">
      <w:pPr>
        <w:pStyle w:val="ListParagraph"/>
        <w:numPr>
          <w:ilvl w:val="0"/>
          <w:numId w:val="0"/>
        </w:numPr>
        <w:tabs>
          <w:tab w:val="clear" w:pos="426"/>
          <w:tab w:val="left" w:pos="0"/>
        </w:tabs>
        <w:ind w:left="426" w:hanging="426"/>
        <w:rPr>
          <w:b/>
        </w:rPr>
      </w:pPr>
    </w:p>
    <w:p w14:paraId="0AF3438C" w14:textId="77777777" w:rsidR="00846F8E" w:rsidRPr="00A929EF" w:rsidRDefault="00846F8E" w:rsidP="00846F8E">
      <w:pPr>
        <w:pStyle w:val="ListParagraph"/>
        <w:numPr>
          <w:ilvl w:val="0"/>
          <w:numId w:val="0"/>
        </w:numPr>
        <w:tabs>
          <w:tab w:val="clear" w:pos="426"/>
          <w:tab w:val="left" w:pos="0"/>
        </w:tabs>
        <w:ind w:left="426" w:hanging="426"/>
        <w:rPr>
          <w:b/>
        </w:rPr>
      </w:pPr>
      <w:r w:rsidRPr="00A929EF">
        <w:rPr>
          <w:b/>
        </w:rPr>
        <w:t>CIL</w:t>
      </w:r>
      <w:r>
        <w:rPr>
          <w:b/>
        </w:rPr>
        <w:t xml:space="preserve"> and</w:t>
      </w:r>
      <w:r w:rsidRPr="00A929EF">
        <w:rPr>
          <w:b/>
        </w:rPr>
        <w:t xml:space="preserve"> Section 106 and the Regulation 123 List</w:t>
      </w:r>
    </w:p>
    <w:p w14:paraId="350C3CC8" w14:textId="048E2F87" w:rsidR="00846F8E" w:rsidRDefault="00D87E12" w:rsidP="00846F8E">
      <w:pPr>
        <w:pStyle w:val="bParagraphtext"/>
      </w:pPr>
      <w:r w:rsidRPr="00846F8E">
        <w:rPr>
          <w:bCs/>
        </w:rPr>
        <w:t xml:space="preserve">CIL is the Government’s preferred method for collecting pooled contributions to fund infrastructure. </w:t>
      </w:r>
      <w:r w:rsidR="00B83363" w:rsidRPr="00846F8E">
        <w:rPr>
          <w:bCs/>
        </w:rPr>
        <w:t>There remains</w:t>
      </w:r>
      <w:r w:rsidRPr="00846F8E">
        <w:rPr>
          <w:bCs/>
        </w:rPr>
        <w:t xml:space="preserve"> </w:t>
      </w:r>
      <w:r w:rsidR="00E73563">
        <w:rPr>
          <w:bCs/>
        </w:rPr>
        <w:t xml:space="preserve">a </w:t>
      </w:r>
      <w:r w:rsidRPr="00846F8E">
        <w:rPr>
          <w:bCs/>
        </w:rPr>
        <w:t xml:space="preserve">need for S106 </w:t>
      </w:r>
      <w:r w:rsidRPr="00725645">
        <w:rPr>
          <w:bCs/>
        </w:rPr>
        <w:t xml:space="preserve">obligations, but they </w:t>
      </w:r>
      <w:r w:rsidR="00E73563" w:rsidRPr="00725645">
        <w:rPr>
          <w:bCs/>
        </w:rPr>
        <w:t xml:space="preserve">must </w:t>
      </w:r>
      <w:r w:rsidRPr="00725645">
        <w:rPr>
          <w:bCs/>
        </w:rPr>
        <w:t>be restricted to the regulation of development and in particular site specific mitigation</w:t>
      </w:r>
      <w:r w:rsidR="00725645" w:rsidRPr="00725645">
        <w:rPr>
          <w:bCs/>
        </w:rPr>
        <w:t xml:space="preserve"> </w:t>
      </w:r>
      <w:r w:rsidR="00725645">
        <w:rPr>
          <w:bCs/>
        </w:rPr>
        <w:t xml:space="preserve">as </w:t>
      </w:r>
      <w:r w:rsidR="00725645" w:rsidRPr="00725645">
        <w:t xml:space="preserve">their use relates to acceptability </w:t>
      </w:r>
      <w:r w:rsidR="00725645">
        <w:t xml:space="preserve">of a proposal </w:t>
      </w:r>
      <w:r w:rsidR="00725645" w:rsidRPr="00725645">
        <w:t>in planning terms</w:t>
      </w:r>
      <w:r w:rsidRPr="00725645">
        <w:rPr>
          <w:bCs/>
        </w:rPr>
        <w:t>.</w:t>
      </w:r>
      <w:r w:rsidRPr="00725645">
        <w:rPr>
          <w:b/>
          <w:bCs/>
        </w:rPr>
        <w:t xml:space="preserve"> </w:t>
      </w:r>
      <w:r w:rsidRPr="00725645">
        <w:rPr>
          <w:bCs/>
        </w:rPr>
        <w:t>S106 obligations continue to be the primary mechanism for securing affordable housing through</w:t>
      </w:r>
      <w:r w:rsidRPr="00846F8E">
        <w:rPr>
          <w:bCs/>
        </w:rPr>
        <w:t xml:space="preserve"> the planning system.</w:t>
      </w:r>
    </w:p>
    <w:p w14:paraId="142855CB" w14:textId="77777777" w:rsidR="00846F8E" w:rsidRDefault="005A5399" w:rsidP="00846F8E">
      <w:pPr>
        <w:pStyle w:val="bParagraphtext"/>
      </w:pPr>
      <w:r w:rsidRPr="00A929EF">
        <w:t>The Regulation 123 list of the Community Infrastructure Levy (CIL) Regulations is a list of infrastructure that will be, or may be, wholly or partly funded by CIL. The effect of the list is to restrict the use of S106 Planning Obligations for infrastructure that will be funded in whole or in part by the CIL. This</w:t>
      </w:r>
      <w:r>
        <w:t xml:space="preserve"> is to ensure no duplication or double charging towards the same infrastructure project.</w:t>
      </w:r>
    </w:p>
    <w:p w14:paraId="4D0EF905" w14:textId="77777777" w:rsidR="00846F8E" w:rsidRDefault="005A5399" w:rsidP="00846F8E">
      <w:pPr>
        <w:pStyle w:val="bParagraphtext"/>
      </w:pPr>
      <w:r>
        <w:t xml:space="preserve">The </w:t>
      </w:r>
      <w:hyperlink r:id="rId9" w:history="1">
        <w:r w:rsidRPr="005A5399">
          <w:rPr>
            <w:rStyle w:val="Hyperlink"/>
          </w:rPr>
          <w:t>current Regulation 123 list</w:t>
        </w:r>
      </w:hyperlink>
      <w:r>
        <w:t xml:space="preserve"> (Oct 2014) </w:t>
      </w:r>
      <w:r w:rsidR="00F51479">
        <w:t xml:space="preserve">is very wide ranging and </w:t>
      </w:r>
      <w:r>
        <w:t>covers strategic and neighbourhood level infrastructure and relates to transport, public realm, community safety, education, community services, sports and leisure and environmental.</w:t>
      </w:r>
    </w:p>
    <w:p w14:paraId="302FEF59" w14:textId="6A276BB3" w:rsidR="00846F8E" w:rsidRDefault="00F51479" w:rsidP="00846F8E">
      <w:pPr>
        <w:pStyle w:val="bParagraphtext"/>
      </w:pPr>
      <w:r w:rsidRPr="005B6E8B">
        <w:t xml:space="preserve">The content of the </w:t>
      </w:r>
      <w:proofErr w:type="spellStart"/>
      <w:r>
        <w:t>Reg</w:t>
      </w:r>
      <w:proofErr w:type="spellEnd"/>
      <w:r>
        <w:t xml:space="preserve"> 123 </w:t>
      </w:r>
      <w:r w:rsidRPr="005B6E8B">
        <w:t xml:space="preserve">list will vary between authorities according to their circumstances and their requirements. For some authorities, where there are specific large scale pieces of infrastructure necessary to unlock development across the area, the </w:t>
      </w:r>
      <w:proofErr w:type="spellStart"/>
      <w:r>
        <w:t>Reg</w:t>
      </w:r>
      <w:proofErr w:type="spellEnd"/>
      <w:r>
        <w:t xml:space="preserve"> </w:t>
      </w:r>
      <w:r w:rsidRPr="005B6E8B">
        <w:t xml:space="preserve">123 list could be very limited and focussed. In other areas where infrastructure requirements result from incremental increases in demand across the board, their list is likely to be more general in nature, enabling them to respond flexibly. </w:t>
      </w:r>
    </w:p>
    <w:p w14:paraId="12ECA783" w14:textId="487AF723" w:rsidR="004E4D6B" w:rsidRDefault="004E4D6B" w:rsidP="004E4D6B">
      <w:pPr>
        <w:pStyle w:val="bParagraphtext"/>
      </w:pPr>
      <w:r>
        <w:t xml:space="preserve">The Regulations require Authorities to publish a draft of their Regulation 123 list in advance </w:t>
      </w:r>
      <w:r w:rsidRPr="00A929EF">
        <w:t>of a CIL examination. Through the consultation on the PDCS, the City Council will be asking for opinions on the scope of the Regulation 123 list.</w:t>
      </w:r>
    </w:p>
    <w:p w14:paraId="7AA6BD3D" w14:textId="1F8A588E" w:rsidR="004E4D6B" w:rsidRPr="00AA2617" w:rsidRDefault="004E4D6B" w:rsidP="004E4D6B">
      <w:pPr>
        <w:pStyle w:val="bParagraphtext"/>
        <w:numPr>
          <w:ilvl w:val="0"/>
          <w:numId w:val="0"/>
        </w:numPr>
        <w:rPr>
          <w:b/>
        </w:rPr>
      </w:pPr>
      <w:r w:rsidRPr="004E4D6B">
        <w:rPr>
          <w:b/>
        </w:rPr>
        <w:t>CIL and Section 106 on strategic</w:t>
      </w:r>
      <w:r w:rsidRPr="00AA2617">
        <w:rPr>
          <w:b/>
        </w:rPr>
        <w:t xml:space="preserve"> sites</w:t>
      </w:r>
      <w:r w:rsidR="00AA2617">
        <w:rPr>
          <w:b/>
        </w:rPr>
        <w:t xml:space="preserve"> (including Northern Gateway)</w:t>
      </w:r>
    </w:p>
    <w:p w14:paraId="2BDAFA2B" w14:textId="0AE04117" w:rsidR="00846F8E" w:rsidRPr="004E4D6B" w:rsidRDefault="00F51479" w:rsidP="00846F8E">
      <w:pPr>
        <w:pStyle w:val="bParagraphtext"/>
      </w:pPr>
      <w:r w:rsidRPr="004E4D6B">
        <w:t xml:space="preserve">The PDCS proposes that on </w:t>
      </w:r>
      <w:r w:rsidR="00394FB2" w:rsidRPr="004E4D6B">
        <w:t>strategic sites</w:t>
      </w:r>
      <w:r w:rsidR="009A4B09" w:rsidRPr="004E4D6B">
        <w:t>,</w:t>
      </w:r>
      <w:r w:rsidR="00394FB2" w:rsidRPr="004E4D6B">
        <w:t xml:space="preserve"> such as Northern Gateway,</w:t>
      </w:r>
      <w:r w:rsidRPr="004E4D6B">
        <w:t xml:space="preserve"> S106 will be used rather than CIL.</w:t>
      </w:r>
      <w:r w:rsidR="00AC3909" w:rsidRPr="004E4D6B">
        <w:t xml:space="preserve"> </w:t>
      </w:r>
      <w:r w:rsidR="00394FB2" w:rsidRPr="004E4D6B">
        <w:t>Such</w:t>
      </w:r>
      <w:r w:rsidRPr="004E4D6B">
        <w:t xml:space="preserve"> sites are likely to have major and expensive infrastructure demands which need to be delivered early to enable development to proceed. Where this is the case (and the statutory tests can be met) it is more likely that S106 obligations will be the appropriate delivery mechanism.</w:t>
      </w:r>
    </w:p>
    <w:p w14:paraId="274D7AB7" w14:textId="537E2403" w:rsidR="00207ECA" w:rsidRDefault="00207ECA" w:rsidP="00207ECA">
      <w:pPr>
        <w:pStyle w:val="ListParagraph"/>
      </w:pPr>
      <w:r>
        <w:t xml:space="preserve">S106 would be used to fund specific transport works or </w:t>
      </w:r>
      <w:r w:rsidR="003E1132">
        <w:t xml:space="preserve">other infrastructure such as </w:t>
      </w:r>
      <w:r>
        <w:t>educational and leisure needs</w:t>
      </w:r>
      <w:r w:rsidR="003E1132">
        <w:t xml:space="preserve"> </w:t>
      </w:r>
      <w:r>
        <w:t>arising as a result of the particular development. These contributions could be pooled with a maximum of four other S106 contributions to the same infrastructure project so careful application of S106 would be required. Contributions could not be combined with CIL spend</w:t>
      </w:r>
      <w:r w:rsidR="00E75964">
        <w:t xml:space="preserve"> or</w:t>
      </w:r>
      <w:r>
        <w:t xml:space="preserve"> on other city-wide infrastructure projects.</w:t>
      </w:r>
    </w:p>
    <w:p w14:paraId="099B03C2" w14:textId="1F01B1F9" w:rsidR="00F8075F" w:rsidRDefault="00AA2617" w:rsidP="00F8075F">
      <w:pPr>
        <w:pStyle w:val="ListParagraph"/>
      </w:pPr>
      <w:r>
        <w:t>The case for excluding strategic sites from the CIL regime and using Section 106 procedures in its place</w:t>
      </w:r>
      <w:r w:rsidR="00DB2A28">
        <w:t xml:space="preserve"> </w:t>
      </w:r>
      <w:r>
        <w:t>is very strong</w:t>
      </w:r>
      <w:r w:rsidR="00F8075F">
        <w:t xml:space="preserve"> and</w:t>
      </w:r>
      <w:r>
        <w:t xml:space="preserve"> this approach will form part of the wider consultation o</w:t>
      </w:r>
      <w:r w:rsidR="00DB2A28">
        <w:t>n the PDCS</w:t>
      </w:r>
      <w:r>
        <w:t>.</w:t>
      </w:r>
      <w:r w:rsidR="00DE6160">
        <w:t xml:space="preserve"> T</w:t>
      </w:r>
      <w:r w:rsidR="00F8075F">
        <w:t xml:space="preserve">he City Council is exploring ways to allow the Northern Gateway site to be considered under the S106 regime for collecting planning obligations rather than </w:t>
      </w:r>
      <w:r w:rsidR="00DE6160">
        <w:t>Community Infrastructure Levy. </w:t>
      </w:r>
      <w:r w:rsidR="00F8075F">
        <w:t xml:space="preserve">This reflects the nature of the development, the piecemeal way that large science park developments are </w:t>
      </w:r>
      <w:r w:rsidR="00F8075F">
        <w:lastRenderedPageBreak/>
        <w:t xml:space="preserve">developed over a number of </w:t>
      </w:r>
      <w:proofErr w:type="gramStart"/>
      <w:r w:rsidR="00F8075F">
        <w:t>years,</w:t>
      </w:r>
      <w:proofErr w:type="gramEnd"/>
      <w:r w:rsidR="00F8075F">
        <w:t xml:space="preserve"> and the need for the delive</w:t>
      </w:r>
      <w:r w:rsidR="00DE6160">
        <w:t>ry of up front infrastructure. </w:t>
      </w:r>
      <w:r w:rsidR="00F8075F">
        <w:t>This precise mechanism for this will be brought back to CEB at a future meeting.</w:t>
      </w:r>
    </w:p>
    <w:p w14:paraId="58E866B0" w14:textId="293858B0" w:rsidR="004F576D" w:rsidRDefault="004F576D" w:rsidP="004F576D">
      <w:pPr>
        <w:pStyle w:val="ListParagraph"/>
      </w:pPr>
      <w:r>
        <w:t>T</w:t>
      </w:r>
      <w:r w:rsidRPr="00821BE3">
        <w:t xml:space="preserve">he Reg. 123 list </w:t>
      </w:r>
      <w:r>
        <w:t>would therefore be reduced in scope to exclude</w:t>
      </w:r>
      <w:r w:rsidRPr="00821BE3">
        <w:t xml:space="preserve"> </w:t>
      </w:r>
      <w:r>
        <w:t>specific strategic infrastructure associated with s</w:t>
      </w:r>
      <w:r w:rsidRPr="00821BE3">
        <w:t>trategic sites</w:t>
      </w:r>
      <w:r>
        <w:t xml:space="preserve"> and wider housing and economic growth. The emerging Local </w:t>
      </w:r>
      <w:r w:rsidRPr="00C363E7">
        <w:t>Plan will have a policy setting out th</w:t>
      </w:r>
      <w:r>
        <w:t>at</w:t>
      </w:r>
      <w:r w:rsidRPr="00C363E7">
        <w:t xml:space="preserve"> sites above </w:t>
      </w:r>
      <w:r w:rsidR="00E40B92">
        <w:t>a</w:t>
      </w:r>
      <w:r w:rsidRPr="00C363E7">
        <w:t xml:space="preserve"> threshold </w:t>
      </w:r>
      <w:r w:rsidR="00E40B92">
        <w:t xml:space="preserve">(to be determined) </w:t>
      </w:r>
      <w:r w:rsidRPr="00C363E7">
        <w:t>would make contributions through S106 not CIL. The Affordable Housing and Planning Obligations SPD would also be reviewed to tie in with these changes.</w:t>
      </w:r>
    </w:p>
    <w:p w14:paraId="03B72A0F" w14:textId="77777777" w:rsidR="00846F8E" w:rsidRPr="00846F8E" w:rsidRDefault="00846F8E" w:rsidP="00846F8E">
      <w:pPr>
        <w:rPr>
          <w:rStyle w:val="Firstpagetablebold"/>
          <w:b w:val="0"/>
        </w:rPr>
      </w:pPr>
      <w:r w:rsidRPr="00846F8E">
        <w:rPr>
          <w:b/>
        </w:rPr>
        <w:t>Financial implications</w:t>
      </w:r>
    </w:p>
    <w:p w14:paraId="05CD7297" w14:textId="77777777" w:rsidR="00846F8E" w:rsidRPr="00721C3E" w:rsidRDefault="00162FEF" w:rsidP="00846F8E">
      <w:pPr>
        <w:pStyle w:val="bParagraphtext"/>
        <w:rPr>
          <w:rFonts w:cs="Arial"/>
        </w:rPr>
      </w:pPr>
      <w:r>
        <w:t xml:space="preserve">The rate at </w:t>
      </w:r>
      <w:r w:rsidRPr="00721C3E">
        <w:rPr>
          <w:rFonts w:cs="Arial"/>
        </w:rPr>
        <w:t>which the CIL tariff is ultimately set will determine the amount of income received by the City Council from new development</w:t>
      </w:r>
      <w:r w:rsidR="003305A2" w:rsidRPr="00721C3E">
        <w:rPr>
          <w:rFonts w:cs="Arial"/>
        </w:rPr>
        <w:t xml:space="preserve"> to be spent on infrastructure which could include capital projects.</w:t>
      </w:r>
    </w:p>
    <w:p w14:paraId="31AD0D7A" w14:textId="1C032B0D" w:rsidR="00846F8E" w:rsidRPr="00721C3E" w:rsidRDefault="00BA2D25" w:rsidP="00846F8E">
      <w:pPr>
        <w:pStyle w:val="bParagraphtext"/>
        <w:rPr>
          <w:rFonts w:cs="Arial"/>
        </w:rPr>
      </w:pPr>
      <w:r w:rsidRPr="00721C3E">
        <w:rPr>
          <w:rFonts w:cs="Arial"/>
        </w:rPr>
        <w:t xml:space="preserve">The rates set out in the PDCS could </w:t>
      </w:r>
      <w:r w:rsidRPr="000F02B8">
        <w:rPr>
          <w:rFonts w:cs="Arial"/>
        </w:rPr>
        <w:t xml:space="preserve">generate CIL income </w:t>
      </w:r>
      <w:r w:rsidR="00721C3E" w:rsidRPr="000F02B8">
        <w:rPr>
          <w:rFonts w:cs="Arial"/>
        </w:rPr>
        <w:t xml:space="preserve">in the region </w:t>
      </w:r>
      <w:r w:rsidRPr="000F02B8">
        <w:rPr>
          <w:rFonts w:cs="Arial"/>
        </w:rPr>
        <w:t xml:space="preserve">of </w:t>
      </w:r>
      <w:r w:rsidRPr="00CD1E7B">
        <w:rPr>
          <w:rFonts w:cs="Arial"/>
        </w:rPr>
        <w:t>£</w:t>
      </w:r>
      <w:r w:rsidR="00E86961" w:rsidRPr="00CD1E7B">
        <w:rPr>
          <w:rFonts w:cs="Arial"/>
        </w:rPr>
        <w:t>47</w:t>
      </w:r>
      <w:r w:rsidR="00721C3E" w:rsidRPr="00CD1E7B">
        <w:rPr>
          <w:rFonts w:cs="Arial"/>
        </w:rPr>
        <w:t xml:space="preserve"> million</w:t>
      </w:r>
      <w:r w:rsidR="00E86961" w:rsidRPr="000F02B8">
        <w:rPr>
          <w:rFonts w:cs="Arial"/>
        </w:rPr>
        <w:t xml:space="preserve"> </w:t>
      </w:r>
      <w:r w:rsidRPr="000F02B8">
        <w:rPr>
          <w:rFonts w:cs="Arial"/>
        </w:rPr>
        <w:t>from developments delivered by the Local</w:t>
      </w:r>
      <w:r w:rsidRPr="00721C3E">
        <w:rPr>
          <w:rFonts w:cs="Arial"/>
        </w:rPr>
        <w:t xml:space="preserve"> Plan</w:t>
      </w:r>
      <w:r w:rsidR="00721C3E">
        <w:rPr>
          <w:rFonts w:cs="Arial"/>
        </w:rPr>
        <w:t xml:space="preserve"> generated</w:t>
      </w:r>
      <w:r w:rsidR="00721C3E" w:rsidRPr="00CD1E7B">
        <w:rPr>
          <w:rFonts w:cs="Arial"/>
        </w:rPr>
        <w:t xml:space="preserve"> over a 20 year period</w:t>
      </w:r>
      <w:r w:rsidR="00721C3E">
        <w:rPr>
          <w:rFonts w:cs="Arial"/>
        </w:rPr>
        <w:t>. It</w:t>
      </w:r>
      <w:r w:rsidR="00721C3E" w:rsidRPr="00CD1E7B">
        <w:rPr>
          <w:rFonts w:cs="Arial"/>
        </w:rPr>
        <w:t xml:space="preserve"> is a ‘best-case’ scenario estimate as not all </w:t>
      </w:r>
      <w:r w:rsidR="00721C3E">
        <w:rPr>
          <w:rFonts w:cs="Arial"/>
        </w:rPr>
        <w:t xml:space="preserve">development </w:t>
      </w:r>
      <w:r w:rsidR="00721C3E" w:rsidRPr="00721C3E">
        <w:rPr>
          <w:rFonts w:cs="Arial"/>
        </w:rPr>
        <w:t>sites</w:t>
      </w:r>
      <w:r w:rsidR="00721C3E" w:rsidRPr="00CD1E7B">
        <w:rPr>
          <w:rFonts w:cs="Arial"/>
        </w:rPr>
        <w:t xml:space="preserve"> will come forward for development or for the scale and type of development estimated.</w:t>
      </w:r>
    </w:p>
    <w:p w14:paraId="5890B437" w14:textId="77777777" w:rsidR="00846F8E" w:rsidRPr="00BD2517" w:rsidRDefault="00846F8E" w:rsidP="00846F8E">
      <w:pPr>
        <w:pStyle w:val="Heading1"/>
        <w:rPr>
          <w:color w:val="auto"/>
        </w:rPr>
      </w:pPr>
      <w:r w:rsidRPr="001356F1">
        <w:t xml:space="preserve">Legal </w:t>
      </w:r>
      <w:r w:rsidRPr="00BD2517">
        <w:rPr>
          <w:color w:val="auto"/>
        </w:rPr>
        <w:t>issues</w:t>
      </w:r>
    </w:p>
    <w:p w14:paraId="31FB6233" w14:textId="03E6365E" w:rsidR="00846F8E" w:rsidRPr="00846F8E" w:rsidRDefault="00BD2517" w:rsidP="00E97F4D">
      <w:pPr>
        <w:pStyle w:val="bParagraphtext"/>
      </w:pPr>
      <w:r w:rsidRPr="00846F8E">
        <w:rPr>
          <w:rFonts w:cs="Arial"/>
          <w:color w:val="auto"/>
          <w:shd w:val="clear" w:color="auto" w:fill="FFFFFF"/>
        </w:rPr>
        <w:t>The government has said that it "</w:t>
      </w:r>
      <w:r w:rsidRPr="00846F8E">
        <w:rPr>
          <w:rFonts w:cs="Arial"/>
          <w:i/>
          <w:color w:val="auto"/>
          <w:shd w:val="clear" w:color="auto" w:fill="FFFFFF"/>
        </w:rPr>
        <w:t>will examine the options for reforming the system of developer contributions including ensuring direct benefit for communities</w:t>
      </w:r>
      <w:r w:rsidRPr="00846F8E">
        <w:rPr>
          <w:rFonts w:cs="Arial"/>
          <w:color w:val="auto"/>
          <w:shd w:val="clear" w:color="auto" w:fill="FFFFFF"/>
        </w:rPr>
        <w:t>" and will respond to the review and make an announcement at the Autumn Budget 2017</w:t>
      </w:r>
      <w:r w:rsidR="002B3FEA" w:rsidRPr="00846F8E">
        <w:rPr>
          <w:rFonts w:cs="Arial"/>
          <w:color w:val="auto"/>
          <w:shd w:val="clear" w:color="auto" w:fill="FFFFFF"/>
        </w:rPr>
        <w:t xml:space="preserve"> (</w:t>
      </w:r>
      <w:r w:rsidRPr="00846F8E">
        <w:rPr>
          <w:rFonts w:cs="Arial"/>
          <w:color w:val="auto"/>
          <w:shd w:val="clear" w:color="auto" w:fill="FFFFFF"/>
        </w:rPr>
        <w:t>22</w:t>
      </w:r>
      <w:r w:rsidRPr="00846F8E">
        <w:rPr>
          <w:rFonts w:cs="Arial"/>
          <w:color w:val="auto"/>
          <w:shd w:val="clear" w:color="auto" w:fill="FFFFFF"/>
          <w:vertAlign w:val="superscript"/>
        </w:rPr>
        <w:t>nd</w:t>
      </w:r>
      <w:r w:rsidRPr="00846F8E">
        <w:rPr>
          <w:rFonts w:cs="Arial"/>
          <w:color w:val="auto"/>
          <w:shd w:val="clear" w:color="auto" w:fill="FFFFFF"/>
        </w:rPr>
        <w:t xml:space="preserve"> November 2017). At the time of finalising this CEB report </w:t>
      </w:r>
      <w:r w:rsidR="00E86961">
        <w:rPr>
          <w:rFonts w:cs="Arial"/>
          <w:color w:val="auto"/>
          <w:shd w:val="clear" w:color="auto" w:fill="FFFFFF"/>
        </w:rPr>
        <w:t>indications are that CIL will remain</w:t>
      </w:r>
      <w:r w:rsidRPr="00846F8E">
        <w:rPr>
          <w:rFonts w:cs="Arial"/>
          <w:color w:val="auto"/>
          <w:shd w:val="clear" w:color="auto" w:fill="FFFFFF"/>
        </w:rPr>
        <w:t>.</w:t>
      </w:r>
    </w:p>
    <w:p w14:paraId="56C0296F" w14:textId="77777777" w:rsidR="00846F8E" w:rsidRPr="00846F8E" w:rsidRDefault="00846F8E" w:rsidP="00846F8E">
      <w:pPr>
        <w:rPr>
          <w:b/>
          <w:highlight w:val="yellow"/>
        </w:rPr>
      </w:pPr>
      <w:r w:rsidRPr="00846F8E">
        <w:rPr>
          <w:b/>
        </w:rPr>
        <w:t>Level of risk</w:t>
      </w:r>
    </w:p>
    <w:p w14:paraId="331F80AB" w14:textId="41664AC0" w:rsidR="00846F8E" w:rsidRDefault="0011164C" w:rsidP="00846F8E">
      <w:pPr>
        <w:pStyle w:val="bParagraphtext"/>
      </w:pPr>
      <w:r w:rsidRPr="00846F8E">
        <w:rPr>
          <w:color w:val="auto"/>
        </w:rPr>
        <w:t xml:space="preserve">A risk assessment has been undertaken and the risk register is attached (Appendix </w:t>
      </w:r>
      <w:r w:rsidR="00EC0B2C">
        <w:rPr>
          <w:color w:val="auto"/>
        </w:rPr>
        <w:t>3</w:t>
      </w:r>
      <w:r w:rsidRPr="00846F8E">
        <w:rPr>
          <w:color w:val="auto"/>
        </w:rPr>
        <w:t xml:space="preserve">).  All risks have been </w:t>
      </w:r>
      <w:r w:rsidRPr="00846F8E">
        <w:t xml:space="preserve">mitigated to an acceptable level. </w:t>
      </w:r>
    </w:p>
    <w:p w14:paraId="1EF9D5CC" w14:textId="77777777" w:rsidR="00846F8E" w:rsidRPr="001356F1" w:rsidRDefault="00846F8E" w:rsidP="00846F8E">
      <w:pPr>
        <w:pStyle w:val="Heading1"/>
      </w:pPr>
      <w:r w:rsidRPr="001356F1">
        <w:t xml:space="preserve">Equalities impact </w:t>
      </w:r>
    </w:p>
    <w:p w14:paraId="338AF090" w14:textId="5A97EBB9" w:rsidR="009833DD" w:rsidRDefault="009833DD" w:rsidP="00846F8E">
      <w:pPr>
        <w:pStyle w:val="bParagraphtext"/>
      </w:pPr>
      <w:r>
        <w:t>T</w:t>
      </w:r>
      <w:r w:rsidRPr="00AB7B72">
        <w:t>here are no equalities impacts arising from this report.</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7EF8B7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159DA98"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F23B551" w14:textId="2D1A786C" w:rsidR="00E87F7A" w:rsidRPr="001356F1" w:rsidRDefault="00FD7FDA" w:rsidP="00A46E98">
            <w:r>
              <w:t>Laura Higgins</w:t>
            </w:r>
          </w:p>
        </w:tc>
      </w:tr>
      <w:tr w:rsidR="00DF093E" w:rsidRPr="001356F1" w14:paraId="7070A98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BC6200E"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AC8B265" w14:textId="4ACA6F95" w:rsidR="00E87F7A" w:rsidRPr="001356F1" w:rsidRDefault="00FD7FDA" w:rsidP="00A46E98">
            <w:r>
              <w:t>Team Leader, Planning Policy</w:t>
            </w:r>
          </w:p>
        </w:tc>
      </w:tr>
      <w:tr w:rsidR="00DF093E" w:rsidRPr="001356F1" w14:paraId="3085041C" w14:textId="77777777" w:rsidTr="00A46E98">
        <w:trPr>
          <w:cantSplit/>
          <w:trHeight w:val="396"/>
        </w:trPr>
        <w:tc>
          <w:tcPr>
            <w:tcW w:w="3969" w:type="dxa"/>
            <w:tcBorders>
              <w:top w:val="nil"/>
              <w:left w:val="single" w:sz="8" w:space="0" w:color="000000"/>
              <w:bottom w:val="nil"/>
              <w:right w:val="nil"/>
            </w:tcBorders>
            <w:shd w:val="clear" w:color="auto" w:fill="auto"/>
          </w:tcPr>
          <w:p w14:paraId="2D247BE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BB2416E" w14:textId="77777777" w:rsidR="00E87F7A" w:rsidRPr="001356F1" w:rsidRDefault="00B62BB2" w:rsidP="00A46E98">
            <w:r w:rsidRPr="00B62BB2">
              <w:t>Planning, Sustainable Development &amp; Regulatory Services</w:t>
            </w:r>
          </w:p>
        </w:tc>
      </w:tr>
      <w:tr w:rsidR="00DF093E" w:rsidRPr="001356F1" w14:paraId="37D65460" w14:textId="77777777" w:rsidTr="00A46E98">
        <w:trPr>
          <w:cantSplit/>
          <w:trHeight w:val="396"/>
        </w:trPr>
        <w:tc>
          <w:tcPr>
            <w:tcW w:w="3969" w:type="dxa"/>
            <w:tcBorders>
              <w:top w:val="nil"/>
              <w:left w:val="single" w:sz="8" w:space="0" w:color="000000"/>
              <w:bottom w:val="nil"/>
              <w:right w:val="nil"/>
            </w:tcBorders>
            <w:shd w:val="clear" w:color="auto" w:fill="auto"/>
          </w:tcPr>
          <w:p w14:paraId="79FB766B"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EFAD551" w14:textId="309678B8" w:rsidR="00E87F7A" w:rsidRPr="001356F1" w:rsidRDefault="00E87F7A" w:rsidP="00B62BB2">
            <w:r w:rsidRPr="001356F1">
              <w:t xml:space="preserve">01865 </w:t>
            </w:r>
            <w:r w:rsidR="00B62BB2">
              <w:t>25217</w:t>
            </w:r>
            <w:r w:rsidR="00FD7FDA">
              <w:t>3</w:t>
            </w:r>
          </w:p>
        </w:tc>
      </w:tr>
      <w:tr w:rsidR="005570B5" w:rsidRPr="001356F1" w14:paraId="15B4D82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46FB972"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D2A2AB3" w14:textId="7A0BD049" w:rsidR="00E87F7A" w:rsidRPr="001356F1" w:rsidRDefault="00FD7FDA" w:rsidP="00A46E98">
            <w:pPr>
              <w:rPr>
                <w:rStyle w:val="Hyperlink"/>
                <w:color w:val="000000"/>
              </w:rPr>
            </w:pPr>
            <w:r>
              <w:rPr>
                <w:rStyle w:val="Hyperlink"/>
                <w:color w:val="000000"/>
              </w:rPr>
              <w:t>lhiggins</w:t>
            </w:r>
            <w:r w:rsidR="00B62BB2">
              <w:rPr>
                <w:rStyle w:val="Hyperlink"/>
                <w:color w:val="000000"/>
              </w:rPr>
              <w:t>@oxford.gov.uk</w:t>
            </w:r>
          </w:p>
        </w:tc>
      </w:tr>
    </w:tbl>
    <w:p w14:paraId="5B21B2C7" w14:textId="77777777" w:rsidR="00EC0B2C" w:rsidRDefault="00EC0B2C" w:rsidP="00C85B4E">
      <w:pPr>
        <w:rPr>
          <w:b/>
        </w:rPr>
      </w:pPr>
    </w:p>
    <w:p w14:paraId="490978FD" w14:textId="77777777" w:rsidR="005A61EC" w:rsidRDefault="005A61EC" w:rsidP="00C85B4E">
      <w:pPr>
        <w:rPr>
          <w:b/>
        </w:rPr>
      </w:pPr>
    </w:p>
    <w:p w14:paraId="0B735C34" w14:textId="77777777" w:rsidR="005A61EC" w:rsidRDefault="005A61EC" w:rsidP="00C85B4E">
      <w:pPr>
        <w:rPr>
          <w:b/>
        </w:rPr>
      </w:pPr>
    </w:p>
    <w:p w14:paraId="63A4E5A5" w14:textId="77777777" w:rsidR="005A61EC" w:rsidRDefault="005A61EC" w:rsidP="00C85B4E">
      <w:pPr>
        <w:rPr>
          <w:b/>
        </w:rPr>
      </w:pPr>
    </w:p>
    <w:p w14:paraId="480AD1F8" w14:textId="77777777" w:rsidR="005A61EC" w:rsidRDefault="005A61EC" w:rsidP="00C85B4E">
      <w:pPr>
        <w:rPr>
          <w:b/>
        </w:rPr>
      </w:pPr>
    </w:p>
    <w:sectPr w:rsidR="005A61E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94D9C" w15:done="0"/>
  <w15:commentEx w15:paraId="4A02A2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1616E" w14:textId="77777777" w:rsidR="00717264" w:rsidRDefault="00717264" w:rsidP="004A6D2F">
      <w:r>
        <w:separator/>
      </w:r>
    </w:p>
  </w:endnote>
  <w:endnote w:type="continuationSeparator" w:id="0">
    <w:p w14:paraId="53BFA08F" w14:textId="77777777" w:rsidR="00717264" w:rsidRDefault="0071726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B6648" w14:textId="77777777" w:rsidR="00367003" w:rsidRDefault="00367003" w:rsidP="004A6D2F">
    <w:pPr>
      <w:pStyle w:val="Footer"/>
    </w:pPr>
    <w:r>
      <w:t>Do not use a footer or page numbers.</w:t>
    </w:r>
  </w:p>
  <w:p w14:paraId="0E1FBE23" w14:textId="77777777" w:rsidR="00367003" w:rsidRDefault="00367003" w:rsidP="004A6D2F">
    <w:pPr>
      <w:pStyle w:val="Footer"/>
    </w:pPr>
  </w:p>
  <w:p w14:paraId="72CE005B" w14:textId="77777777" w:rsidR="00367003" w:rsidRDefault="00367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9C2D0" w14:textId="77777777" w:rsidR="00367003" w:rsidRDefault="00367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BD468" w14:textId="77777777" w:rsidR="00717264" w:rsidRDefault="00717264" w:rsidP="004A6D2F">
      <w:r>
        <w:separator/>
      </w:r>
    </w:p>
  </w:footnote>
  <w:footnote w:type="continuationSeparator" w:id="0">
    <w:p w14:paraId="4C30F95E" w14:textId="77777777" w:rsidR="00717264" w:rsidRDefault="0071726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2AE82" w14:textId="3957072B" w:rsidR="00367003" w:rsidRDefault="00BA2D25" w:rsidP="00D5547E">
    <w:pPr>
      <w:pStyle w:val="Header"/>
      <w:jc w:val="right"/>
    </w:pPr>
    <w:r>
      <w:rPr>
        <w:noProof/>
      </w:rPr>
      <w:drawing>
        <wp:inline distT="0" distB="0" distL="0" distR="0" wp14:anchorId="03FF8BF4" wp14:editId="7A375F7C">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CEA18DF"/>
    <w:multiLevelType w:val="singleLevel"/>
    <w:tmpl w:val="0809000F"/>
    <w:lvl w:ilvl="0">
      <w:start w:val="1"/>
      <w:numFmt w:val="decimal"/>
      <w:lvlText w:val="%1."/>
      <w:lvlJc w:val="left"/>
      <w:pPr>
        <w:ind w:left="720" w:hanging="360"/>
      </w:pPr>
      <w:rPr>
        <w:rFont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A27DFE"/>
    <w:multiLevelType w:val="singleLevel"/>
    <w:tmpl w:val="08090001"/>
    <w:lvl w:ilvl="0">
      <w:start w:val="1"/>
      <w:numFmt w:val="bullet"/>
      <w:lvlText w:val=""/>
      <w:lvlJc w:val="left"/>
      <w:pPr>
        <w:ind w:left="720" w:hanging="360"/>
      </w:pPr>
      <w:rPr>
        <w:rFonts w:ascii="Symbol" w:hAnsi="Symbol" w:hint="default"/>
      </w:r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6E5B33"/>
    <w:multiLevelType w:val="hybridMultilevel"/>
    <w:tmpl w:val="EAD8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EF1491"/>
    <w:multiLevelType w:val="hybridMultilevel"/>
    <w:tmpl w:val="44EE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9A6170"/>
    <w:multiLevelType w:val="singleLevel"/>
    <w:tmpl w:val="0809000F"/>
    <w:lvl w:ilvl="0">
      <w:start w:val="1"/>
      <w:numFmt w:val="decimal"/>
      <w:pStyle w:val="ListParagraph"/>
      <w:lvlText w:val="%1."/>
      <w:lvlJc w:val="left"/>
      <w:pPr>
        <w:ind w:left="720" w:hanging="360"/>
      </w:pPr>
      <w:rPr>
        <w:rFonts w:hint="default"/>
      </w:r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8476D7"/>
    <w:multiLevelType w:val="hybridMultilevel"/>
    <w:tmpl w:val="D2AC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669167B"/>
    <w:multiLevelType w:val="hybridMultilevel"/>
    <w:tmpl w:val="229ABB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nsid w:val="675868EA"/>
    <w:multiLevelType w:val="hybridMultilevel"/>
    <w:tmpl w:val="485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0CB73A7"/>
    <w:multiLevelType w:val="singleLevel"/>
    <w:tmpl w:val="0809000F"/>
    <w:lvl w:ilvl="0">
      <w:start w:val="1"/>
      <w:numFmt w:val="decimal"/>
      <w:lvlText w:val="%1."/>
      <w:lvlJc w:val="left"/>
      <w:pPr>
        <w:ind w:left="720" w:hanging="360"/>
      </w:pPr>
      <w:rPr>
        <w:rFonts w:hint="default"/>
      </w:rPr>
    </w:lvl>
  </w:abstractNum>
  <w:abstractNum w:abstractNumId="41">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A852259"/>
    <w:multiLevelType w:val="hybridMultilevel"/>
    <w:tmpl w:val="E79E36BC"/>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ACE7EDA"/>
    <w:multiLevelType w:val="singleLevel"/>
    <w:tmpl w:val="08090001"/>
    <w:lvl w:ilvl="0">
      <w:start w:val="1"/>
      <w:numFmt w:val="bullet"/>
      <w:lvlText w:val=""/>
      <w:lvlJc w:val="left"/>
      <w:pPr>
        <w:ind w:left="720" w:hanging="360"/>
      </w:pPr>
      <w:rPr>
        <w:rFonts w:ascii="Symbol" w:hAnsi="Symbol" w:hint="default"/>
      </w:rPr>
    </w:lvl>
  </w:abstractNum>
  <w:abstractNum w:abstractNumId="44">
    <w:nsid w:val="7C8D6EBB"/>
    <w:multiLevelType w:val="singleLevel"/>
    <w:tmpl w:val="08090001"/>
    <w:lvl w:ilvl="0">
      <w:start w:val="1"/>
      <w:numFmt w:val="bullet"/>
      <w:lvlText w:val=""/>
      <w:lvlJc w:val="left"/>
      <w:pPr>
        <w:ind w:left="1080" w:hanging="360"/>
      </w:pPr>
      <w:rPr>
        <w:rFonts w:ascii="Symbol" w:hAnsi="Symbol" w:hint="default"/>
      </w:rPr>
    </w:lvl>
  </w:abstractNum>
  <w:abstractNum w:abstractNumId="45">
    <w:nsid w:val="7F8B4466"/>
    <w:multiLevelType w:val="hybridMultilevel"/>
    <w:tmpl w:val="6CA220A6"/>
    <w:lvl w:ilvl="0" w:tplc="3C5037E4">
      <w:start w:val="1"/>
      <w:numFmt w:val="bullet"/>
      <w:lvlText w:val=""/>
      <w:lvlJc w:val="left"/>
      <w:pPr>
        <w:ind w:left="1146" w:hanging="360"/>
      </w:pPr>
      <w:rPr>
        <w:rFonts w:ascii="Symbol" w:hAnsi="Symbol" w:hint="default"/>
      </w:rPr>
    </w:lvl>
    <w:lvl w:ilvl="1" w:tplc="82FC9604" w:tentative="1">
      <w:start w:val="1"/>
      <w:numFmt w:val="bullet"/>
      <w:lvlText w:val="o"/>
      <w:lvlJc w:val="left"/>
      <w:pPr>
        <w:ind w:left="1866" w:hanging="360"/>
      </w:pPr>
      <w:rPr>
        <w:rFonts w:ascii="Courier New" w:hAnsi="Courier New" w:cs="Courier New" w:hint="default"/>
      </w:rPr>
    </w:lvl>
    <w:lvl w:ilvl="2" w:tplc="88F6C9AA" w:tentative="1">
      <w:start w:val="1"/>
      <w:numFmt w:val="bullet"/>
      <w:lvlText w:val=""/>
      <w:lvlJc w:val="left"/>
      <w:pPr>
        <w:ind w:left="2586" w:hanging="360"/>
      </w:pPr>
      <w:rPr>
        <w:rFonts w:ascii="Wingdings" w:hAnsi="Wingdings" w:hint="default"/>
      </w:rPr>
    </w:lvl>
    <w:lvl w:ilvl="3" w:tplc="3BE89678" w:tentative="1">
      <w:start w:val="1"/>
      <w:numFmt w:val="bullet"/>
      <w:lvlText w:val=""/>
      <w:lvlJc w:val="left"/>
      <w:pPr>
        <w:ind w:left="3306" w:hanging="360"/>
      </w:pPr>
      <w:rPr>
        <w:rFonts w:ascii="Symbol" w:hAnsi="Symbol" w:hint="default"/>
      </w:rPr>
    </w:lvl>
    <w:lvl w:ilvl="4" w:tplc="0958B4D2" w:tentative="1">
      <w:start w:val="1"/>
      <w:numFmt w:val="bullet"/>
      <w:lvlText w:val="o"/>
      <w:lvlJc w:val="left"/>
      <w:pPr>
        <w:ind w:left="4026" w:hanging="360"/>
      </w:pPr>
      <w:rPr>
        <w:rFonts w:ascii="Courier New" w:hAnsi="Courier New" w:cs="Courier New" w:hint="default"/>
      </w:rPr>
    </w:lvl>
    <w:lvl w:ilvl="5" w:tplc="8354B2A2" w:tentative="1">
      <w:start w:val="1"/>
      <w:numFmt w:val="bullet"/>
      <w:lvlText w:val=""/>
      <w:lvlJc w:val="left"/>
      <w:pPr>
        <w:ind w:left="4746" w:hanging="360"/>
      </w:pPr>
      <w:rPr>
        <w:rFonts w:ascii="Wingdings" w:hAnsi="Wingdings" w:hint="default"/>
      </w:rPr>
    </w:lvl>
    <w:lvl w:ilvl="6" w:tplc="97E0F750" w:tentative="1">
      <w:start w:val="1"/>
      <w:numFmt w:val="bullet"/>
      <w:lvlText w:val=""/>
      <w:lvlJc w:val="left"/>
      <w:pPr>
        <w:ind w:left="5466" w:hanging="360"/>
      </w:pPr>
      <w:rPr>
        <w:rFonts w:ascii="Symbol" w:hAnsi="Symbol" w:hint="default"/>
      </w:rPr>
    </w:lvl>
    <w:lvl w:ilvl="7" w:tplc="648A7ABA" w:tentative="1">
      <w:start w:val="1"/>
      <w:numFmt w:val="bullet"/>
      <w:lvlText w:val="o"/>
      <w:lvlJc w:val="left"/>
      <w:pPr>
        <w:ind w:left="6186" w:hanging="360"/>
      </w:pPr>
      <w:rPr>
        <w:rFonts w:ascii="Courier New" w:hAnsi="Courier New" w:cs="Courier New" w:hint="default"/>
      </w:rPr>
    </w:lvl>
    <w:lvl w:ilvl="8" w:tplc="B1709910" w:tentative="1">
      <w:start w:val="1"/>
      <w:numFmt w:val="bullet"/>
      <w:lvlText w:val=""/>
      <w:lvlJc w:val="left"/>
      <w:pPr>
        <w:ind w:left="6906" w:hanging="360"/>
      </w:pPr>
      <w:rPr>
        <w:rFonts w:ascii="Wingdings" w:hAnsi="Wingdings" w:hint="default"/>
      </w:rPr>
    </w:lvl>
  </w:abstractNum>
  <w:num w:numId="1">
    <w:abstractNumId w:val="31"/>
  </w:num>
  <w:num w:numId="2">
    <w:abstractNumId w:val="38"/>
  </w:num>
  <w:num w:numId="3">
    <w:abstractNumId w:val="26"/>
  </w:num>
  <w:num w:numId="4">
    <w:abstractNumId w:val="19"/>
  </w:num>
  <w:num w:numId="5">
    <w:abstractNumId w:val="33"/>
  </w:num>
  <w:num w:numId="6">
    <w:abstractNumId w:val="39"/>
  </w:num>
  <w:num w:numId="7">
    <w:abstractNumId w:val="23"/>
  </w:num>
  <w:num w:numId="8">
    <w:abstractNumId w:val="21"/>
  </w:num>
  <w:num w:numId="9">
    <w:abstractNumId w:val="13"/>
  </w:num>
  <w:num w:numId="10">
    <w:abstractNumId w:val="16"/>
  </w:num>
  <w:num w:numId="11">
    <w:abstractNumId w:val="29"/>
  </w:num>
  <w:num w:numId="12">
    <w:abstractNumId w:val="27"/>
  </w:num>
  <w:num w:numId="13">
    <w:abstractNumId w:val="10"/>
  </w:num>
  <w:num w:numId="14">
    <w:abstractNumId w:val="28"/>
  </w:num>
  <w:num w:numId="15">
    <w:abstractNumId w:val="17"/>
  </w:num>
  <w:num w:numId="16">
    <w:abstractNumId w:val="11"/>
  </w:num>
  <w:num w:numId="17">
    <w:abstractNumId w:val="32"/>
  </w:num>
  <w:num w:numId="18">
    <w:abstractNumId w:val="12"/>
  </w:num>
  <w:num w:numId="19">
    <w:abstractNumId w:val="34"/>
  </w:num>
  <w:num w:numId="20">
    <w:abstractNumId w:val="18"/>
  </w:num>
  <w:num w:numId="21">
    <w:abstractNumId w:val="22"/>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5"/>
  </w:num>
  <w:num w:numId="35">
    <w:abstractNumId w:val="44"/>
  </w:num>
  <w:num w:numId="36">
    <w:abstractNumId w:val="43"/>
  </w:num>
  <w:num w:numId="37">
    <w:abstractNumId w:val="15"/>
  </w:num>
  <w:num w:numId="38">
    <w:abstractNumId w:val="41"/>
    <w:lvlOverride w:ilvl="0">
      <w:lvl w:ilvl="0">
        <w:start w:val="1"/>
        <w:numFmt w:val="decimal"/>
        <w:lvlText w:val="%1."/>
        <w:lvlJc w:val="left"/>
        <w:pPr>
          <w:ind w:left="360" w:hanging="360"/>
        </w:pPr>
        <w:rPr>
          <w:rFonts w:ascii="Arial" w:hAnsi="Arial"/>
          <w:color w:val="000000"/>
          <w:sz w:val="24"/>
        </w:rPr>
      </w:lvl>
    </w:lvlOverride>
  </w:num>
  <w:num w:numId="39">
    <w:abstractNumId w:val="30"/>
  </w:num>
  <w:num w:numId="40">
    <w:abstractNumId w:val="25"/>
  </w:num>
  <w:num w:numId="41">
    <w:abstractNumId w:val="36"/>
  </w:num>
  <w:num w:numId="42">
    <w:abstractNumId w:val="20"/>
  </w:num>
  <w:num w:numId="43">
    <w:abstractNumId w:val="35"/>
  </w:num>
  <w:num w:numId="44">
    <w:abstractNumId w:val="40"/>
  </w:num>
  <w:num w:numId="45">
    <w:abstractNumId w:val="24"/>
  </w:num>
  <w:num w:numId="46">
    <w:abstractNumId w:val="4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15:presenceInfo w15:providerId="None" w15:userId="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E2"/>
    <w:rsid w:val="000070C0"/>
    <w:rsid w:val="000117D4"/>
    <w:rsid w:val="000314D7"/>
    <w:rsid w:val="00045F8B"/>
    <w:rsid w:val="00046D2B"/>
    <w:rsid w:val="00056263"/>
    <w:rsid w:val="00064D8A"/>
    <w:rsid w:val="00064F82"/>
    <w:rsid w:val="00066510"/>
    <w:rsid w:val="00077523"/>
    <w:rsid w:val="000A3779"/>
    <w:rsid w:val="000C089F"/>
    <w:rsid w:val="000C3928"/>
    <w:rsid w:val="000C5E8E"/>
    <w:rsid w:val="000D74AD"/>
    <w:rsid w:val="000E79BB"/>
    <w:rsid w:val="000F02B8"/>
    <w:rsid w:val="000F4751"/>
    <w:rsid w:val="0010524C"/>
    <w:rsid w:val="0011164C"/>
    <w:rsid w:val="00111FB1"/>
    <w:rsid w:val="00113418"/>
    <w:rsid w:val="001356F1"/>
    <w:rsid w:val="00136994"/>
    <w:rsid w:val="0014128E"/>
    <w:rsid w:val="00151888"/>
    <w:rsid w:val="00162FEF"/>
    <w:rsid w:val="00170A2D"/>
    <w:rsid w:val="00173EC1"/>
    <w:rsid w:val="001808BC"/>
    <w:rsid w:val="00182B81"/>
    <w:rsid w:val="0018619D"/>
    <w:rsid w:val="001A011E"/>
    <w:rsid w:val="001A066A"/>
    <w:rsid w:val="001A13E6"/>
    <w:rsid w:val="001A5731"/>
    <w:rsid w:val="001B42C3"/>
    <w:rsid w:val="001C2CC9"/>
    <w:rsid w:val="001C5D5E"/>
    <w:rsid w:val="001D678D"/>
    <w:rsid w:val="001E03F8"/>
    <w:rsid w:val="001E1678"/>
    <w:rsid w:val="001E3376"/>
    <w:rsid w:val="00204BCB"/>
    <w:rsid w:val="002069B3"/>
    <w:rsid w:val="00207ECA"/>
    <w:rsid w:val="00220EA2"/>
    <w:rsid w:val="002329CF"/>
    <w:rsid w:val="00232F5B"/>
    <w:rsid w:val="00247C29"/>
    <w:rsid w:val="00260467"/>
    <w:rsid w:val="00263EA3"/>
    <w:rsid w:val="00284F85"/>
    <w:rsid w:val="00290915"/>
    <w:rsid w:val="002A22E2"/>
    <w:rsid w:val="002B3FEA"/>
    <w:rsid w:val="002C64F7"/>
    <w:rsid w:val="002F41F2"/>
    <w:rsid w:val="00301BF3"/>
    <w:rsid w:val="0030208D"/>
    <w:rsid w:val="00323418"/>
    <w:rsid w:val="00326FAE"/>
    <w:rsid w:val="003305A2"/>
    <w:rsid w:val="003357BF"/>
    <w:rsid w:val="00364FAD"/>
    <w:rsid w:val="00367003"/>
    <w:rsid w:val="0036738F"/>
    <w:rsid w:val="0036759C"/>
    <w:rsid w:val="00367AE5"/>
    <w:rsid w:val="00367D71"/>
    <w:rsid w:val="0038150A"/>
    <w:rsid w:val="00394FB2"/>
    <w:rsid w:val="00396068"/>
    <w:rsid w:val="003B6E75"/>
    <w:rsid w:val="003B7DA1"/>
    <w:rsid w:val="003C67FB"/>
    <w:rsid w:val="003C70A5"/>
    <w:rsid w:val="003D0379"/>
    <w:rsid w:val="003D2574"/>
    <w:rsid w:val="003D4C59"/>
    <w:rsid w:val="003E1132"/>
    <w:rsid w:val="003F4267"/>
    <w:rsid w:val="00404032"/>
    <w:rsid w:val="0040736F"/>
    <w:rsid w:val="00412C1F"/>
    <w:rsid w:val="00421CB2"/>
    <w:rsid w:val="004268B9"/>
    <w:rsid w:val="00433B96"/>
    <w:rsid w:val="004344CE"/>
    <w:rsid w:val="004440F1"/>
    <w:rsid w:val="004456DD"/>
    <w:rsid w:val="00446CDF"/>
    <w:rsid w:val="00451B02"/>
    <w:rsid w:val="004521B7"/>
    <w:rsid w:val="00462AB5"/>
    <w:rsid w:val="00465EAF"/>
    <w:rsid w:val="004731DC"/>
    <w:rsid w:val="004738C5"/>
    <w:rsid w:val="00491046"/>
    <w:rsid w:val="004A2AC7"/>
    <w:rsid w:val="004A6D2F"/>
    <w:rsid w:val="004B5BEE"/>
    <w:rsid w:val="004C08C9"/>
    <w:rsid w:val="004C2887"/>
    <w:rsid w:val="004D0B34"/>
    <w:rsid w:val="004D2626"/>
    <w:rsid w:val="004D6E26"/>
    <w:rsid w:val="004D77D3"/>
    <w:rsid w:val="004E2959"/>
    <w:rsid w:val="004E4D6B"/>
    <w:rsid w:val="004F141F"/>
    <w:rsid w:val="004F20EF"/>
    <w:rsid w:val="004F576D"/>
    <w:rsid w:val="0050321C"/>
    <w:rsid w:val="005147D0"/>
    <w:rsid w:val="00536E12"/>
    <w:rsid w:val="00545019"/>
    <w:rsid w:val="0054712D"/>
    <w:rsid w:val="00547EF6"/>
    <w:rsid w:val="005570B5"/>
    <w:rsid w:val="00560EF3"/>
    <w:rsid w:val="00567E18"/>
    <w:rsid w:val="00575F5F"/>
    <w:rsid w:val="00581805"/>
    <w:rsid w:val="00585F76"/>
    <w:rsid w:val="00591DF0"/>
    <w:rsid w:val="005A34E4"/>
    <w:rsid w:val="005A5399"/>
    <w:rsid w:val="005A61EC"/>
    <w:rsid w:val="005B17F2"/>
    <w:rsid w:val="005B7FB0"/>
    <w:rsid w:val="005C35A5"/>
    <w:rsid w:val="005C577C"/>
    <w:rsid w:val="005D0621"/>
    <w:rsid w:val="005D1E27"/>
    <w:rsid w:val="005D2A3E"/>
    <w:rsid w:val="005D6AC6"/>
    <w:rsid w:val="005E022E"/>
    <w:rsid w:val="005E5215"/>
    <w:rsid w:val="005E6963"/>
    <w:rsid w:val="005F769A"/>
    <w:rsid w:val="005F7F7E"/>
    <w:rsid w:val="00614693"/>
    <w:rsid w:val="006177C4"/>
    <w:rsid w:val="00623C2F"/>
    <w:rsid w:val="00625BE2"/>
    <w:rsid w:val="00633578"/>
    <w:rsid w:val="00635264"/>
    <w:rsid w:val="00637068"/>
    <w:rsid w:val="00650811"/>
    <w:rsid w:val="00661D3E"/>
    <w:rsid w:val="00692627"/>
    <w:rsid w:val="00693751"/>
    <w:rsid w:val="006969E7"/>
    <w:rsid w:val="006A3643"/>
    <w:rsid w:val="006C2A29"/>
    <w:rsid w:val="006C64CF"/>
    <w:rsid w:val="006D17B1"/>
    <w:rsid w:val="006D1F68"/>
    <w:rsid w:val="006D4752"/>
    <w:rsid w:val="006D708A"/>
    <w:rsid w:val="006E14C1"/>
    <w:rsid w:val="006F0292"/>
    <w:rsid w:val="006F27FA"/>
    <w:rsid w:val="006F416B"/>
    <w:rsid w:val="006F519B"/>
    <w:rsid w:val="00704CEF"/>
    <w:rsid w:val="00710C88"/>
    <w:rsid w:val="00713675"/>
    <w:rsid w:val="00715823"/>
    <w:rsid w:val="00717264"/>
    <w:rsid w:val="00721C3E"/>
    <w:rsid w:val="00725645"/>
    <w:rsid w:val="00737B93"/>
    <w:rsid w:val="00745BF0"/>
    <w:rsid w:val="007615FE"/>
    <w:rsid w:val="0076655C"/>
    <w:rsid w:val="00771BAB"/>
    <w:rsid w:val="00772269"/>
    <w:rsid w:val="007742DC"/>
    <w:rsid w:val="00790CC2"/>
    <w:rsid w:val="00791437"/>
    <w:rsid w:val="007A7645"/>
    <w:rsid w:val="007B0C2C"/>
    <w:rsid w:val="007B278E"/>
    <w:rsid w:val="007C5C23"/>
    <w:rsid w:val="007E2A26"/>
    <w:rsid w:val="007F2348"/>
    <w:rsid w:val="00803F07"/>
    <w:rsid w:val="0080749A"/>
    <w:rsid w:val="00821FB8"/>
    <w:rsid w:val="00822ACD"/>
    <w:rsid w:val="00845DD6"/>
    <w:rsid w:val="00846F8E"/>
    <w:rsid w:val="00855C66"/>
    <w:rsid w:val="00871EE4"/>
    <w:rsid w:val="00895CFD"/>
    <w:rsid w:val="008B293F"/>
    <w:rsid w:val="008B7371"/>
    <w:rsid w:val="008C06EC"/>
    <w:rsid w:val="008D3DDB"/>
    <w:rsid w:val="008F573F"/>
    <w:rsid w:val="009034EC"/>
    <w:rsid w:val="00930329"/>
    <w:rsid w:val="0093067A"/>
    <w:rsid w:val="00941C60"/>
    <w:rsid w:val="00966D42"/>
    <w:rsid w:val="00971689"/>
    <w:rsid w:val="00973E90"/>
    <w:rsid w:val="00975B07"/>
    <w:rsid w:val="00980B4A"/>
    <w:rsid w:val="009833DD"/>
    <w:rsid w:val="009A4B09"/>
    <w:rsid w:val="009B5BDF"/>
    <w:rsid w:val="009D5C8B"/>
    <w:rsid w:val="009E3D0A"/>
    <w:rsid w:val="009E51FC"/>
    <w:rsid w:val="009F1D28"/>
    <w:rsid w:val="009F7618"/>
    <w:rsid w:val="00A04744"/>
    <w:rsid w:val="00A04D23"/>
    <w:rsid w:val="00A06766"/>
    <w:rsid w:val="00A1140E"/>
    <w:rsid w:val="00A13765"/>
    <w:rsid w:val="00A21B12"/>
    <w:rsid w:val="00A23F80"/>
    <w:rsid w:val="00A46E98"/>
    <w:rsid w:val="00A6352B"/>
    <w:rsid w:val="00A701B5"/>
    <w:rsid w:val="00A714BB"/>
    <w:rsid w:val="00A76DB1"/>
    <w:rsid w:val="00A929EF"/>
    <w:rsid w:val="00A92D8F"/>
    <w:rsid w:val="00A94AF9"/>
    <w:rsid w:val="00AA2617"/>
    <w:rsid w:val="00AA2D9E"/>
    <w:rsid w:val="00AB2988"/>
    <w:rsid w:val="00AB7999"/>
    <w:rsid w:val="00AC3909"/>
    <w:rsid w:val="00AD3292"/>
    <w:rsid w:val="00AE7AF0"/>
    <w:rsid w:val="00AF4CA8"/>
    <w:rsid w:val="00B06D2D"/>
    <w:rsid w:val="00B200CF"/>
    <w:rsid w:val="00B32C8D"/>
    <w:rsid w:val="00B500CA"/>
    <w:rsid w:val="00B62BB2"/>
    <w:rsid w:val="00B83363"/>
    <w:rsid w:val="00B86314"/>
    <w:rsid w:val="00BA1C2E"/>
    <w:rsid w:val="00BA2D25"/>
    <w:rsid w:val="00BC200B"/>
    <w:rsid w:val="00BC4756"/>
    <w:rsid w:val="00BC69A4"/>
    <w:rsid w:val="00BC76D7"/>
    <w:rsid w:val="00BD2517"/>
    <w:rsid w:val="00BE0680"/>
    <w:rsid w:val="00BE305F"/>
    <w:rsid w:val="00BE7BA3"/>
    <w:rsid w:val="00BF5682"/>
    <w:rsid w:val="00BF7B09"/>
    <w:rsid w:val="00C20A95"/>
    <w:rsid w:val="00C2692F"/>
    <w:rsid w:val="00C3207C"/>
    <w:rsid w:val="00C36066"/>
    <w:rsid w:val="00C400E1"/>
    <w:rsid w:val="00C41187"/>
    <w:rsid w:val="00C63C31"/>
    <w:rsid w:val="00C66E32"/>
    <w:rsid w:val="00C757A0"/>
    <w:rsid w:val="00C760DE"/>
    <w:rsid w:val="00C82630"/>
    <w:rsid w:val="00C84CEA"/>
    <w:rsid w:val="00C85B4E"/>
    <w:rsid w:val="00C907F7"/>
    <w:rsid w:val="00CA2103"/>
    <w:rsid w:val="00CB6B99"/>
    <w:rsid w:val="00CD1E7B"/>
    <w:rsid w:val="00CE4C87"/>
    <w:rsid w:val="00CE544A"/>
    <w:rsid w:val="00D11E1C"/>
    <w:rsid w:val="00D137E7"/>
    <w:rsid w:val="00D160B0"/>
    <w:rsid w:val="00D17F94"/>
    <w:rsid w:val="00D223FC"/>
    <w:rsid w:val="00D265F1"/>
    <w:rsid w:val="00D26D1E"/>
    <w:rsid w:val="00D474CF"/>
    <w:rsid w:val="00D5547E"/>
    <w:rsid w:val="00D869A1"/>
    <w:rsid w:val="00D87E12"/>
    <w:rsid w:val="00DA413F"/>
    <w:rsid w:val="00DA4584"/>
    <w:rsid w:val="00DA614B"/>
    <w:rsid w:val="00DB2A28"/>
    <w:rsid w:val="00DC3060"/>
    <w:rsid w:val="00DE0FB2"/>
    <w:rsid w:val="00DE6160"/>
    <w:rsid w:val="00DF093E"/>
    <w:rsid w:val="00E01F42"/>
    <w:rsid w:val="00E11CDB"/>
    <w:rsid w:val="00E206D6"/>
    <w:rsid w:val="00E3366E"/>
    <w:rsid w:val="00E40B92"/>
    <w:rsid w:val="00E52086"/>
    <w:rsid w:val="00E543A6"/>
    <w:rsid w:val="00E60479"/>
    <w:rsid w:val="00E61D73"/>
    <w:rsid w:val="00E73563"/>
    <w:rsid w:val="00E73684"/>
    <w:rsid w:val="00E75964"/>
    <w:rsid w:val="00E818D6"/>
    <w:rsid w:val="00E86961"/>
    <w:rsid w:val="00E87F7A"/>
    <w:rsid w:val="00E9673F"/>
    <w:rsid w:val="00E96BD7"/>
    <w:rsid w:val="00E97F4D"/>
    <w:rsid w:val="00EA0DB1"/>
    <w:rsid w:val="00EA0EE9"/>
    <w:rsid w:val="00EA346A"/>
    <w:rsid w:val="00EC0B2C"/>
    <w:rsid w:val="00ED52CA"/>
    <w:rsid w:val="00ED5860"/>
    <w:rsid w:val="00EE35C9"/>
    <w:rsid w:val="00EE384E"/>
    <w:rsid w:val="00F0452D"/>
    <w:rsid w:val="00F05ECA"/>
    <w:rsid w:val="00F3566E"/>
    <w:rsid w:val="00F375FB"/>
    <w:rsid w:val="00F41AC1"/>
    <w:rsid w:val="00F4367A"/>
    <w:rsid w:val="00F445B1"/>
    <w:rsid w:val="00F45CD4"/>
    <w:rsid w:val="00F51479"/>
    <w:rsid w:val="00F66046"/>
    <w:rsid w:val="00F66DCA"/>
    <w:rsid w:val="00F74F53"/>
    <w:rsid w:val="00F7606D"/>
    <w:rsid w:val="00F77245"/>
    <w:rsid w:val="00F80018"/>
    <w:rsid w:val="00F8075F"/>
    <w:rsid w:val="00F81670"/>
    <w:rsid w:val="00F82024"/>
    <w:rsid w:val="00F91D14"/>
    <w:rsid w:val="00F95BC9"/>
    <w:rsid w:val="00FA624C"/>
    <w:rsid w:val="00FA7A29"/>
    <w:rsid w:val="00FD0FAC"/>
    <w:rsid w:val="00FD1DFA"/>
    <w:rsid w:val="00FD4966"/>
    <w:rsid w:val="00FD7FDA"/>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F8E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51479"/>
    <w:pPr>
      <w:autoSpaceDE w:val="0"/>
      <w:autoSpaceDN w:val="0"/>
      <w:adjustRightInd w:val="0"/>
    </w:pPr>
    <w:rPr>
      <w:rFonts w:cs="Arial"/>
      <w:color w:val="000000"/>
      <w:sz w:val="24"/>
      <w:szCs w:val="24"/>
    </w:rPr>
  </w:style>
  <w:style w:type="character" w:styleId="Strong">
    <w:name w:val="Strong"/>
    <w:qFormat/>
    <w:rsid w:val="00A1140E"/>
    <w:rPr>
      <w:b/>
      <w:bCs/>
    </w:rPr>
  </w:style>
  <w:style w:type="paragraph" w:customStyle="1" w:styleId="CharCharCharChar">
    <w:name w:val="Char Char Char Char"/>
    <w:basedOn w:val="Normal"/>
    <w:rsid w:val="00A1140E"/>
    <w:pPr>
      <w:spacing w:after="160" w:line="240" w:lineRule="exact"/>
    </w:pPr>
    <w:rPr>
      <w:rFonts w:ascii="Verdana" w:hAnsi="Verdana"/>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51479"/>
    <w:pPr>
      <w:autoSpaceDE w:val="0"/>
      <w:autoSpaceDN w:val="0"/>
      <w:adjustRightInd w:val="0"/>
    </w:pPr>
    <w:rPr>
      <w:rFonts w:cs="Arial"/>
      <w:color w:val="000000"/>
      <w:sz w:val="24"/>
      <w:szCs w:val="24"/>
    </w:rPr>
  </w:style>
  <w:style w:type="character" w:styleId="Strong">
    <w:name w:val="Strong"/>
    <w:qFormat/>
    <w:rsid w:val="00A1140E"/>
    <w:rPr>
      <w:b/>
      <w:bCs/>
    </w:rPr>
  </w:style>
  <w:style w:type="paragraph" w:customStyle="1" w:styleId="CharCharCharChar">
    <w:name w:val="Char Char Char Char"/>
    <w:basedOn w:val="Normal"/>
    <w:rsid w:val="00A1140E"/>
    <w:pPr>
      <w:spacing w:after="160" w:line="240" w:lineRule="exact"/>
    </w:pPr>
    <w:rPr>
      <w:rFonts w:ascii="Verdana" w:hAnsi="Verdana"/>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1439013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xford.gov.uk/downloads/file/1405/cil_regulation_123_li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CEB%20report%20-%20review%20of%20cil%20charging%20schedule%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C525-01A0-4616-82A9-CA673911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review of cil charging schedule v2</Template>
  <TotalTime>4</TotalTime>
  <Pages>5</Pages>
  <Words>1924</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12575</CharactersWithSpaces>
  <SharedDoc>false</SharedDoc>
  <HLinks>
    <vt:vector size="6" baseType="variant">
      <vt:variant>
        <vt:i4>2752576</vt:i4>
      </vt:variant>
      <vt:variant>
        <vt:i4>0</vt:i4>
      </vt:variant>
      <vt:variant>
        <vt:i4>0</vt:i4>
      </vt:variant>
      <vt:variant>
        <vt:i4>5</vt:i4>
      </vt:variant>
      <vt:variant>
        <vt:lpwstr>https://www.oxford.gov.uk/downloads/file/1405/cil_regulation_123_list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JMitchell</cp:lastModifiedBy>
  <cp:revision>4</cp:revision>
  <cp:lastPrinted>2017-11-17T10:35:00Z</cp:lastPrinted>
  <dcterms:created xsi:type="dcterms:W3CDTF">2018-01-10T16:20:00Z</dcterms:created>
  <dcterms:modified xsi:type="dcterms:W3CDTF">2018-01-15T12:38:00Z</dcterms:modified>
</cp:coreProperties>
</file>